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632A07" w14:textId="77777777" w:rsidR="005A223D" w:rsidRDefault="00000000">
      <w:pPr>
        <w:outlineLvl w:val="0"/>
        <w:rPr>
          <w:b/>
          <w:bCs/>
        </w:rPr>
      </w:pPr>
      <w:r>
        <w:rPr>
          <w:rFonts w:hint="eastAsia"/>
          <w:b/>
          <w:bCs/>
        </w:rPr>
        <w:t>2024</w:t>
      </w:r>
      <w:r>
        <w:rPr>
          <w:rFonts w:hint="eastAsia"/>
          <w:b/>
          <w:bCs/>
        </w:rPr>
        <w:t>年</w:t>
      </w:r>
    </w:p>
    <w:p w14:paraId="274DB9FF" w14:textId="77777777" w:rsidR="005A223D" w:rsidRDefault="00000000">
      <w:pPr>
        <w:outlineLvl w:val="0"/>
        <w:rPr>
          <w:b/>
          <w:bCs/>
        </w:rPr>
      </w:pPr>
      <w:r>
        <w:rPr>
          <w:rFonts w:hint="eastAsia"/>
          <w:b/>
          <w:bCs/>
        </w:rPr>
        <w:t>四、各大区费用政策：</w:t>
      </w:r>
    </w:p>
    <w:p w14:paraId="33626CA0" w14:textId="77777777" w:rsidR="005A223D" w:rsidRDefault="00000000">
      <w:pPr>
        <w:numPr>
          <w:ilvl w:val="255"/>
          <w:numId w:val="0"/>
        </w:numPr>
        <w:spacing w:line="360" w:lineRule="auto"/>
        <w:rPr>
          <w:rFonts w:asciiTheme="minorEastAsia" w:eastAsiaTheme="minorEastAsia" w:hAnsiTheme="minorEastAsia" w:cs="宋体" w:hint="eastAsia"/>
          <w:color w:val="000000" w:themeColor="text1"/>
          <w:kern w:val="0"/>
          <w:sz w:val="18"/>
          <w:szCs w:val="18"/>
        </w:rPr>
      </w:pPr>
      <w:r>
        <w:rPr>
          <w:rFonts w:asciiTheme="minorEastAsia" w:eastAsiaTheme="minorEastAsia" w:hAnsiTheme="minorEastAsia"/>
          <w:color w:val="000000" w:themeColor="text1"/>
          <w:szCs w:val="21"/>
        </w:rPr>
        <w:t>1</w:t>
      </w:r>
      <w:r>
        <w:rPr>
          <w:rFonts w:asciiTheme="minorEastAsia" w:eastAsiaTheme="minorEastAsia" w:hAnsiTheme="minorEastAsia" w:hint="eastAsia"/>
          <w:color w:val="000000" w:themeColor="text1"/>
          <w:szCs w:val="21"/>
        </w:rPr>
        <w:t>、</w:t>
      </w:r>
      <w:r>
        <w:rPr>
          <w:rFonts w:asciiTheme="minorEastAsia" w:eastAsiaTheme="minorEastAsia" w:hAnsiTheme="minorEastAsia"/>
          <w:color w:val="000000" w:themeColor="text1"/>
          <w:szCs w:val="21"/>
        </w:rPr>
        <w:t>IV</w:t>
      </w:r>
      <w:r>
        <w:rPr>
          <w:rFonts w:asciiTheme="minorEastAsia" w:eastAsiaTheme="minorEastAsia" w:hAnsiTheme="minorEastAsia" w:hint="eastAsia"/>
          <w:color w:val="000000" w:themeColor="text1"/>
          <w:szCs w:val="21"/>
        </w:rPr>
        <w:t>类项目：对智能产业项目（不含</w:t>
      </w:r>
      <w:r>
        <w:rPr>
          <w:rFonts w:asciiTheme="minorEastAsia" w:eastAsiaTheme="minorEastAsia" w:hAnsiTheme="minorEastAsia" w:cs="宋体" w:hint="eastAsia"/>
          <w:bCs/>
          <w:color w:val="000000" w:themeColor="text1"/>
          <w:kern w:val="0"/>
          <w:szCs w:val="21"/>
        </w:rPr>
        <w:t>网内直签项目</w:t>
      </w:r>
      <w:r>
        <w:rPr>
          <w:rFonts w:asciiTheme="minorEastAsia" w:eastAsiaTheme="minorEastAsia" w:hAnsiTheme="minorEastAsia" w:hint="eastAsia"/>
          <w:color w:val="000000" w:themeColor="text1"/>
          <w:szCs w:val="21"/>
        </w:rPr>
        <w:t>），额度系数如下：</w:t>
      </w:r>
    </w:p>
    <w:p w14:paraId="03E29DD1" w14:textId="77777777" w:rsidR="005A223D" w:rsidRDefault="00000000">
      <w:pPr>
        <w:numPr>
          <w:ilvl w:val="1"/>
          <w:numId w:val="1"/>
        </w:numPr>
        <w:tabs>
          <w:tab w:val="left" w:pos="312"/>
        </w:tabs>
        <w:spacing w:line="360" w:lineRule="auto"/>
        <w:rPr>
          <w:rFonts w:asciiTheme="minorEastAsia" w:eastAsiaTheme="minorEastAsia" w:hAnsiTheme="minorEastAsia" w:hint="eastAsia"/>
          <w:color w:val="000000" w:themeColor="text1"/>
          <w:szCs w:val="21"/>
        </w:rPr>
      </w:pPr>
      <w:r>
        <w:rPr>
          <w:rFonts w:asciiTheme="minorEastAsia" w:eastAsiaTheme="minorEastAsia" w:hAnsiTheme="minorEastAsia" w:hint="eastAsia"/>
          <w:color w:val="000000" w:themeColor="text1"/>
          <w:szCs w:val="21"/>
        </w:rPr>
        <w:t>净额公开价系数&gt;=1：常规产品按合同净额20%，1年以内新产品按合同净额25%。</w:t>
      </w:r>
      <w:r>
        <w:rPr>
          <w:rFonts w:asciiTheme="minorEastAsia" w:eastAsiaTheme="minorEastAsia" w:hAnsiTheme="minorEastAsia"/>
          <w:color w:val="000000" w:themeColor="text1"/>
          <w:szCs w:val="21"/>
        </w:rPr>
        <w:t xml:space="preserve"> </w:t>
      </w:r>
    </w:p>
    <w:p w14:paraId="646A8251" w14:textId="77777777" w:rsidR="005A223D" w:rsidRDefault="00000000">
      <w:pPr>
        <w:numPr>
          <w:ilvl w:val="1"/>
          <w:numId w:val="1"/>
        </w:numPr>
        <w:tabs>
          <w:tab w:val="left" w:pos="312"/>
        </w:tabs>
        <w:spacing w:line="360" w:lineRule="auto"/>
        <w:rPr>
          <w:rFonts w:asciiTheme="minorEastAsia" w:eastAsiaTheme="minorEastAsia" w:hAnsiTheme="minorEastAsia" w:hint="eastAsia"/>
          <w:color w:val="000000" w:themeColor="text1"/>
          <w:szCs w:val="21"/>
        </w:rPr>
      </w:pPr>
      <w:r>
        <w:rPr>
          <w:rFonts w:asciiTheme="minorEastAsia" w:eastAsiaTheme="minorEastAsia" w:hAnsiTheme="minorEastAsia" w:hint="eastAsia"/>
          <w:color w:val="000000" w:themeColor="text1"/>
          <w:szCs w:val="21"/>
        </w:rPr>
        <w:t>1&gt;净额公开价系数&gt;=0.9：常规产品按合同净额15%，1年以内新产品按合同净额20%。</w:t>
      </w:r>
    </w:p>
    <w:p w14:paraId="1737ECDB" w14:textId="77777777" w:rsidR="005A223D" w:rsidRDefault="00000000">
      <w:pPr>
        <w:numPr>
          <w:ilvl w:val="1"/>
          <w:numId w:val="1"/>
        </w:numPr>
        <w:tabs>
          <w:tab w:val="left" w:pos="312"/>
        </w:tabs>
        <w:spacing w:line="360" w:lineRule="auto"/>
        <w:rPr>
          <w:rFonts w:asciiTheme="minorEastAsia" w:eastAsiaTheme="minorEastAsia" w:hAnsiTheme="minorEastAsia" w:hint="eastAsia"/>
          <w:color w:val="000000" w:themeColor="text1"/>
          <w:szCs w:val="21"/>
        </w:rPr>
      </w:pPr>
      <w:r>
        <w:rPr>
          <w:rFonts w:asciiTheme="minorEastAsia" w:eastAsiaTheme="minorEastAsia" w:hAnsiTheme="minorEastAsia" w:hint="eastAsia"/>
          <w:color w:val="000000" w:themeColor="text1"/>
          <w:szCs w:val="21"/>
        </w:rPr>
        <w:t>0.9&gt;净额公开价系数&gt;=0.7：常规产品按合同净额13%，1年以内新产品按合同净额18%。</w:t>
      </w:r>
    </w:p>
    <w:p w14:paraId="3E539DA6" w14:textId="77777777" w:rsidR="005A223D" w:rsidRDefault="00000000">
      <w:pPr>
        <w:numPr>
          <w:ilvl w:val="1"/>
          <w:numId w:val="1"/>
        </w:numPr>
        <w:tabs>
          <w:tab w:val="left" w:pos="312"/>
        </w:tabs>
        <w:spacing w:line="360" w:lineRule="auto"/>
        <w:rPr>
          <w:rFonts w:asciiTheme="minorEastAsia" w:eastAsiaTheme="minorEastAsia" w:hAnsiTheme="minorEastAsia" w:hint="eastAsia"/>
          <w:color w:val="000000" w:themeColor="text1"/>
          <w:szCs w:val="21"/>
        </w:rPr>
      </w:pPr>
      <w:r>
        <w:rPr>
          <w:rFonts w:asciiTheme="minorEastAsia" w:eastAsiaTheme="minorEastAsia" w:hAnsiTheme="minorEastAsia" w:hint="eastAsia"/>
          <w:color w:val="000000" w:themeColor="text1"/>
          <w:szCs w:val="21"/>
        </w:rPr>
        <w:t>0.7&gt;净额公开价系数&gt;=0.5：常规产品按合同净额6%，1年以内新产品按合同净额11%。</w:t>
      </w:r>
    </w:p>
    <w:p w14:paraId="355C94A2" w14:textId="77777777" w:rsidR="005A223D" w:rsidRDefault="00000000">
      <w:pPr>
        <w:numPr>
          <w:ilvl w:val="1"/>
          <w:numId w:val="1"/>
        </w:numPr>
        <w:tabs>
          <w:tab w:val="left" w:pos="312"/>
        </w:tabs>
        <w:spacing w:line="360" w:lineRule="auto"/>
        <w:rPr>
          <w:rFonts w:asciiTheme="minorEastAsia" w:eastAsiaTheme="minorEastAsia" w:hAnsiTheme="minorEastAsia" w:hint="eastAsia"/>
          <w:szCs w:val="21"/>
        </w:rPr>
      </w:pPr>
      <w:r>
        <w:rPr>
          <w:rFonts w:asciiTheme="minorEastAsia" w:eastAsiaTheme="minorEastAsia" w:hAnsiTheme="minorEastAsia" w:hint="eastAsia"/>
          <w:szCs w:val="21"/>
        </w:rPr>
        <w:t>0.5&gt;净额公开价系数&gt;0.3：常规产品按合同净额3%，1年以内新产品按合同净额8%。</w:t>
      </w:r>
    </w:p>
    <w:p w14:paraId="565A054A" w14:textId="77777777" w:rsidR="005A223D" w:rsidRDefault="00000000">
      <w:pPr>
        <w:numPr>
          <w:ilvl w:val="1"/>
          <w:numId w:val="1"/>
        </w:numPr>
        <w:tabs>
          <w:tab w:val="left" w:pos="312"/>
        </w:tabs>
        <w:spacing w:line="360" w:lineRule="auto"/>
        <w:rPr>
          <w:rFonts w:asciiTheme="minorEastAsia" w:eastAsiaTheme="minorEastAsia" w:hAnsiTheme="minorEastAsia" w:hint="eastAsia"/>
          <w:color w:val="000000" w:themeColor="text1"/>
          <w:szCs w:val="21"/>
        </w:rPr>
      </w:pPr>
      <w:r>
        <w:rPr>
          <w:rFonts w:asciiTheme="minorEastAsia" w:eastAsiaTheme="minorEastAsia" w:hAnsiTheme="minorEastAsia" w:hint="eastAsia"/>
          <w:color w:val="000000" w:themeColor="text1"/>
          <w:szCs w:val="21"/>
        </w:rPr>
        <w:t>0.3&gt;=净额公开价系数：无额度，且项目必须经总监报营销主任确认。</w:t>
      </w:r>
    </w:p>
    <w:p w14:paraId="5EB35446" w14:textId="77777777" w:rsidR="005A223D" w:rsidRDefault="00000000">
      <w:pPr>
        <w:numPr>
          <w:ilvl w:val="255"/>
          <w:numId w:val="0"/>
        </w:numPr>
        <w:spacing w:line="360" w:lineRule="auto"/>
        <w:ind w:left="780"/>
        <w:rPr>
          <w:rFonts w:asciiTheme="minorEastAsia" w:eastAsiaTheme="minorEastAsia" w:hAnsiTheme="minorEastAsia" w:hint="eastAsia"/>
          <w:color w:val="000000" w:themeColor="text1"/>
          <w:szCs w:val="21"/>
        </w:rPr>
      </w:pPr>
      <w:r>
        <w:rPr>
          <w:rFonts w:asciiTheme="minorEastAsia" w:eastAsiaTheme="minorEastAsia" w:hAnsiTheme="minorEastAsia" w:hint="eastAsia"/>
          <w:color w:val="000000" w:themeColor="text1"/>
          <w:szCs w:val="21"/>
        </w:rPr>
        <w:t>注</w:t>
      </w:r>
      <w:r>
        <w:rPr>
          <w:rFonts w:asciiTheme="minorEastAsia" w:eastAsiaTheme="minorEastAsia" w:hAnsiTheme="minorEastAsia"/>
          <w:color w:val="000000" w:themeColor="text1"/>
          <w:szCs w:val="21"/>
        </w:rPr>
        <w:t>1</w:t>
      </w:r>
      <w:r>
        <w:rPr>
          <w:rFonts w:asciiTheme="minorEastAsia" w:eastAsiaTheme="minorEastAsia" w:hAnsiTheme="minorEastAsia" w:hint="eastAsia"/>
          <w:color w:val="000000" w:themeColor="text1"/>
          <w:szCs w:val="21"/>
        </w:rPr>
        <w:t>：对净额公开价系数</w:t>
      </w:r>
      <w:r>
        <w:rPr>
          <w:rFonts w:asciiTheme="minorEastAsia" w:eastAsiaTheme="minorEastAsia" w:hAnsiTheme="minorEastAsia"/>
          <w:color w:val="000000" w:themeColor="text1"/>
          <w:szCs w:val="21"/>
        </w:rPr>
        <w:t>&gt;1.</w:t>
      </w:r>
      <w:r>
        <w:rPr>
          <w:rFonts w:asciiTheme="minorEastAsia" w:eastAsiaTheme="minorEastAsia" w:hAnsiTheme="minorEastAsia" w:hint="eastAsia"/>
          <w:color w:val="000000" w:themeColor="text1"/>
          <w:szCs w:val="21"/>
        </w:rPr>
        <w:t>5，可单独申请专项奖励，经审批后纳入统计；</w:t>
      </w:r>
    </w:p>
    <w:p w14:paraId="1DD92927" w14:textId="77777777" w:rsidR="005A223D" w:rsidRDefault="00000000">
      <w:pPr>
        <w:numPr>
          <w:ilvl w:val="255"/>
          <w:numId w:val="0"/>
        </w:numPr>
        <w:spacing w:line="360" w:lineRule="auto"/>
        <w:ind w:left="780"/>
        <w:rPr>
          <w:rFonts w:asciiTheme="minorEastAsia" w:eastAsiaTheme="minorEastAsia" w:hAnsiTheme="minorEastAsia" w:hint="eastAsia"/>
          <w:color w:val="FF0000"/>
          <w:szCs w:val="21"/>
        </w:rPr>
      </w:pPr>
      <w:r>
        <w:rPr>
          <w:rFonts w:asciiTheme="minorEastAsia" w:eastAsiaTheme="minorEastAsia" w:hAnsiTheme="minorEastAsia" w:hint="eastAsia"/>
          <w:color w:val="000000" w:themeColor="text1"/>
          <w:szCs w:val="21"/>
        </w:rPr>
        <w:t>注2：新产品额度系数补充说明：</w:t>
      </w:r>
      <w:r>
        <w:rPr>
          <w:rFonts w:asciiTheme="minorEastAsia" w:eastAsiaTheme="minorEastAsia" w:hAnsiTheme="minorEastAsia" w:hint="eastAsia"/>
          <w:color w:val="FF0000"/>
          <w:szCs w:val="21"/>
        </w:rPr>
        <w:t>1~3年新产品按1年内新产品90%，3年以上重点新产品按1年以内新产品80%；</w:t>
      </w:r>
    </w:p>
    <w:p w14:paraId="2BBA2D34" w14:textId="77777777" w:rsidR="005A223D" w:rsidRDefault="00000000">
      <w:pPr>
        <w:numPr>
          <w:ilvl w:val="0"/>
          <w:numId w:val="2"/>
        </w:numPr>
        <w:spacing w:line="360" w:lineRule="auto"/>
        <w:rPr>
          <w:rFonts w:asciiTheme="minorEastAsia" w:eastAsiaTheme="minorEastAsia" w:hAnsiTheme="minorEastAsia" w:hint="eastAsia"/>
          <w:color w:val="000000" w:themeColor="text1"/>
          <w:szCs w:val="21"/>
        </w:rPr>
      </w:pPr>
      <w:r>
        <w:rPr>
          <w:rFonts w:asciiTheme="minorEastAsia" w:eastAsiaTheme="minorEastAsia" w:hAnsiTheme="minorEastAsia" w:hint="eastAsia"/>
          <w:color w:val="000000" w:themeColor="text1"/>
          <w:szCs w:val="21"/>
        </w:rPr>
        <w:t>对大型投标项目，设置专项费用额度，计入营销中心公共费用池：</w:t>
      </w:r>
    </w:p>
    <w:p w14:paraId="1CC2FBA6" w14:textId="77777777" w:rsidR="005A223D" w:rsidRDefault="00000000">
      <w:pPr>
        <w:spacing w:line="360" w:lineRule="auto"/>
        <w:rPr>
          <w:rFonts w:asciiTheme="minorEastAsia" w:eastAsiaTheme="minorEastAsia" w:hAnsiTheme="minorEastAsia" w:hint="eastAsia"/>
          <w:color w:val="000000" w:themeColor="text1"/>
          <w:szCs w:val="21"/>
        </w:rPr>
      </w:pPr>
      <w:r>
        <w:rPr>
          <w:rFonts w:asciiTheme="minorEastAsia" w:eastAsiaTheme="minorEastAsia" w:hAnsiTheme="minorEastAsia" w:hint="eastAsia"/>
          <w:color w:val="000000" w:themeColor="text1"/>
          <w:szCs w:val="21"/>
        </w:rPr>
        <w:t>（4）</w:t>
      </w:r>
      <w:r>
        <w:t xml:space="preserve"> </w:t>
      </w:r>
      <w:r>
        <w:rPr>
          <w:rFonts w:asciiTheme="minorEastAsia" w:eastAsiaTheme="minorEastAsia" w:hAnsiTheme="minorEastAsia" w:cs="宋体" w:hint="eastAsia"/>
          <w:bCs/>
          <w:color w:val="000000" w:themeColor="text1"/>
          <w:kern w:val="0"/>
          <w:szCs w:val="21"/>
        </w:rPr>
        <w:t>对网内直签智能产业项目，经产业公司核算审批后，按</w:t>
      </w:r>
      <w:r>
        <w:rPr>
          <w:rFonts w:asciiTheme="minorEastAsia" w:eastAsiaTheme="minorEastAsia" w:hAnsiTheme="minorEastAsia" w:hint="eastAsia"/>
          <w:color w:val="000000" w:themeColor="text1"/>
          <w:szCs w:val="21"/>
        </w:rPr>
        <w:t>合同总额</w:t>
      </w:r>
      <w:r>
        <w:rPr>
          <w:rFonts w:asciiTheme="minorEastAsia" w:eastAsiaTheme="minorEastAsia" w:hAnsiTheme="minorEastAsia" w:cs="宋体" w:hint="eastAsia"/>
          <w:bCs/>
          <w:color w:val="000000" w:themeColor="text1"/>
          <w:kern w:val="0"/>
          <w:szCs w:val="21"/>
        </w:rPr>
        <w:t>15%。</w:t>
      </w:r>
    </w:p>
    <w:p w14:paraId="01B5DDED" w14:textId="77777777" w:rsidR="005A223D" w:rsidRDefault="00000000">
      <w:pPr>
        <w:spacing w:line="360" w:lineRule="auto"/>
        <w:rPr>
          <w:rFonts w:asciiTheme="minorEastAsia" w:eastAsiaTheme="minorEastAsia" w:hAnsiTheme="minorEastAsia" w:hint="eastAsia"/>
          <w:color w:val="000000" w:themeColor="text1"/>
          <w:szCs w:val="21"/>
        </w:rPr>
      </w:pPr>
      <w:r>
        <w:rPr>
          <w:rFonts w:asciiTheme="minorEastAsia" w:eastAsiaTheme="minorEastAsia" w:hAnsiTheme="minorEastAsia" w:hint="eastAsia"/>
          <w:color w:val="000000" w:themeColor="text1"/>
          <w:szCs w:val="21"/>
        </w:rPr>
        <w:t>3、营销大区公共费：</w:t>
      </w:r>
    </w:p>
    <w:p w14:paraId="70DC5A11" w14:textId="77777777" w:rsidR="005A223D" w:rsidRDefault="00000000">
      <w:pPr>
        <w:spacing w:line="360" w:lineRule="auto"/>
        <w:rPr>
          <w:rFonts w:asciiTheme="minorEastAsia" w:eastAsiaTheme="minorEastAsia" w:hAnsiTheme="minorEastAsia" w:hint="eastAsia"/>
          <w:color w:val="000000" w:themeColor="text1"/>
          <w:szCs w:val="21"/>
        </w:rPr>
      </w:pPr>
      <w:r>
        <w:rPr>
          <w:rFonts w:asciiTheme="minorEastAsia" w:eastAsiaTheme="minorEastAsia" w:hAnsiTheme="minorEastAsia" w:hint="eastAsia"/>
          <w:color w:val="000000" w:themeColor="text1"/>
          <w:szCs w:val="21"/>
        </w:rPr>
        <w:t>第一部分按大区总合同总额（不含国网集招及南网框招）0.3%；</w:t>
      </w:r>
    </w:p>
    <w:p w14:paraId="4E5688CA" w14:textId="77777777" w:rsidR="005A223D" w:rsidRDefault="00000000">
      <w:pPr>
        <w:spacing w:line="360" w:lineRule="auto"/>
        <w:rPr>
          <w:rFonts w:asciiTheme="minorEastAsia" w:eastAsiaTheme="minorEastAsia" w:hAnsiTheme="minorEastAsia" w:hint="eastAsia"/>
          <w:color w:val="000000" w:themeColor="text1"/>
          <w:szCs w:val="21"/>
        </w:rPr>
      </w:pPr>
      <w:r>
        <w:rPr>
          <w:rFonts w:asciiTheme="minorEastAsia" w:eastAsiaTheme="minorEastAsia" w:hAnsiTheme="minorEastAsia" w:hint="eastAsia"/>
          <w:color w:val="000000" w:themeColor="text1"/>
          <w:szCs w:val="21"/>
        </w:rPr>
        <w:t>第二部分按大区总费用额度结余（不含国网集招及南网框招）25%，从大区下辖省区费用池提取。（暂不考虑第二部分）</w:t>
      </w:r>
    </w:p>
    <w:p w14:paraId="58A2436E" w14:textId="77777777" w:rsidR="005A223D" w:rsidRDefault="00000000">
      <w:pPr>
        <w:spacing w:line="360" w:lineRule="auto"/>
        <w:rPr>
          <w:rFonts w:asciiTheme="minorEastAsia" w:eastAsiaTheme="minorEastAsia" w:hAnsiTheme="minorEastAsia" w:hint="eastAsia"/>
          <w:szCs w:val="21"/>
        </w:rPr>
      </w:pPr>
      <w:r>
        <w:rPr>
          <w:rFonts w:asciiTheme="minorEastAsia" w:eastAsiaTheme="minorEastAsia" w:hAnsiTheme="minorEastAsia" w:hint="eastAsia"/>
          <w:color w:val="000000" w:themeColor="text1"/>
          <w:szCs w:val="21"/>
        </w:rPr>
        <w:t>4、营销中心公共费：南网框架项目按合同总额3%，其余项目（不含国网集招及南网框招）按营销中心总合同总额1.5%</w:t>
      </w:r>
      <w:r>
        <w:rPr>
          <w:rFonts w:asciiTheme="minorEastAsia" w:eastAsiaTheme="minorEastAsia" w:hAnsiTheme="minorEastAsia" w:hint="eastAsia"/>
          <w:szCs w:val="21"/>
        </w:rPr>
        <w:t>，相关费用用于：平台维护、履约保障、项目反措、重点接待；</w:t>
      </w:r>
    </w:p>
    <w:p w14:paraId="59BD088A" w14:textId="77777777" w:rsidR="005A223D" w:rsidRDefault="00000000">
      <w:pPr>
        <w:spacing w:line="360" w:lineRule="auto"/>
        <w:rPr>
          <w:rFonts w:asciiTheme="minorEastAsia" w:eastAsiaTheme="minorEastAsia" w:hAnsiTheme="minorEastAsia" w:hint="eastAsia"/>
          <w:color w:val="000000" w:themeColor="text1"/>
          <w:szCs w:val="21"/>
        </w:rPr>
      </w:pPr>
      <w:r>
        <w:rPr>
          <w:rFonts w:hint="eastAsia"/>
        </w:rPr>
        <w:t>5</w:t>
      </w:r>
      <w:r>
        <w:rPr>
          <w:rFonts w:hint="eastAsia"/>
        </w:rPr>
        <w:t>、</w:t>
      </w:r>
      <w:r>
        <w:rPr>
          <w:rFonts w:asciiTheme="minorEastAsia" w:eastAsiaTheme="minorEastAsia" w:hAnsiTheme="minorEastAsia" w:hint="eastAsia"/>
          <w:color w:val="000000" w:themeColor="text1"/>
          <w:szCs w:val="21"/>
        </w:rPr>
        <w:t>营销费用的发放与项目合同返回、完整发货、回款情况挂钩，具体如下：</w:t>
      </w:r>
    </w:p>
    <w:p w14:paraId="2353F483" w14:textId="77777777" w:rsidR="005A223D" w:rsidRDefault="00000000">
      <w:pPr>
        <w:numPr>
          <w:ilvl w:val="0"/>
          <w:numId w:val="3"/>
        </w:numPr>
        <w:spacing w:line="360" w:lineRule="auto"/>
        <w:rPr>
          <w:rFonts w:asciiTheme="minorEastAsia" w:eastAsiaTheme="minorEastAsia" w:hAnsiTheme="minorEastAsia" w:hint="eastAsia"/>
          <w:color w:val="000000" w:themeColor="text1"/>
          <w:szCs w:val="21"/>
        </w:rPr>
      </w:pPr>
      <w:r>
        <w:rPr>
          <w:rFonts w:asciiTheme="minorEastAsia" w:eastAsiaTheme="minorEastAsia" w:hAnsiTheme="minorEastAsia" w:hint="eastAsia"/>
          <w:color w:val="000000" w:themeColor="text1"/>
          <w:szCs w:val="21"/>
        </w:rPr>
        <w:t>对网内项目：当合同返回后发放费用总额的75%，当项目完整发货后发放费用总额的25%；</w:t>
      </w:r>
    </w:p>
    <w:p w14:paraId="0226F685" w14:textId="77777777" w:rsidR="005A223D" w:rsidRDefault="00000000">
      <w:pPr>
        <w:numPr>
          <w:ilvl w:val="0"/>
          <w:numId w:val="3"/>
        </w:numPr>
        <w:spacing w:line="360" w:lineRule="auto"/>
        <w:rPr>
          <w:rFonts w:asciiTheme="minorEastAsia" w:eastAsiaTheme="minorEastAsia" w:hAnsiTheme="minorEastAsia" w:hint="eastAsia"/>
          <w:color w:val="000000" w:themeColor="text1"/>
          <w:szCs w:val="21"/>
        </w:rPr>
        <w:sectPr w:rsidR="005A223D">
          <w:pgSz w:w="11906" w:h="16838"/>
          <w:pgMar w:top="1440" w:right="1800" w:bottom="1440" w:left="1800" w:header="851" w:footer="992" w:gutter="0"/>
          <w:cols w:space="425"/>
          <w:docGrid w:type="lines" w:linePitch="312"/>
        </w:sectPr>
      </w:pPr>
      <w:r>
        <w:rPr>
          <w:rFonts w:asciiTheme="minorEastAsia" w:eastAsiaTheme="minorEastAsia" w:hAnsiTheme="minorEastAsia" w:hint="eastAsia"/>
          <w:color w:val="000000" w:themeColor="text1"/>
          <w:szCs w:val="21"/>
        </w:rPr>
        <w:t>对网外项目：当合同返回后发放费用总额的50%，当项目完整发货后发放费用总额的25%，当项目回款大于50%启动发放剩余费用，发放金额等于费用总额*25%*（当期回款额/项目总合同额）。</w:t>
      </w:r>
    </w:p>
    <w:p w14:paraId="57FC6282" w14:textId="77777777" w:rsidR="005A223D" w:rsidRDefault="00000000">
      <w:pPr>
        <w:outlineLvl w:val="0"/>
        <w:rPr>
          <w:b/>
          <w:bCs/>
        </w:rPr>
      </w:pPr>
      <w:r>
        <w:rPr>
          <w:rFonts w:hint="eastAsia"/>
          <w:b/>
          <w:bCs/>
        </w:rPr>
        <w:lastRenderedPageBreak/>
        <w:t>2025</w:t>
      </w:r>
      <w:r>
        <w:rPr>
          <w:rFonts w:hint="eastAsia"/>
          <w:b/>
          <w:bCs/>
        </w:rPr>
        <w:t>年</w:t>
      </w:r>
    </w:p>
    <w:p w14:paraId="1D22A9EE" w14:textId="77777777" w:rsidR="005A223D" w:rsidRDefault="00000000">
      <w:pPr>
        <w:spacing w:line="360" w:lineRule="auto"/>
        <w:outlineLvl w:val="0"/>
        <w:rPr>
          <w:rFonts w:asciiTheme="minorEastAsia" w:eastAsiaTheme="minorEastAsia" w:hAnsiTheme="minorEastAsia" w:hint="eastAsia"/>
          <w:b/>
          <w:color w:val="000000" w:themeColor="text1"/>
          <w:szCs w:val="21"/>
        </w:rPr>
      </w:pPr>
      <w:r>
        <w:rPr>
          <w:rFonts w:asciiTheme="minorEastAsia" w:eastAsiaTheme="minorEastAsia" w:hAnsiTheme="minorEastAsia" w:hint="eastAsia"/>
          <w:b/>
          <w:color w:val="000000" w:themeColor="text1"/>
          <w:szCs w:val="21"/>
        </w:rPr>
        <w:t>四、各大区费用政策：</w:t>
      </w:r>
    </w:p>
    <w:p w14:paraId="7E411D79" w14:textId="77777777" w:rsidR="005A223D" w:rsidRDefault="00000000">
      <w:pPr>
        <w:spacing w:line="360" w:lineRule="auto"/>
        <w:rPr>
          <w:rFonts w:asciiTheme="minorEastAsia" w:eastAsiaTheme="minorEastAsia" w:hAnsiTheme="minorEastAsia" w:hint="eastAsia"/>
          <w:color w:val="000000" w:themeColor="text1"/>
          <w:szCs w:val="21"/>
        </w:rPr>
      </w:pPr>
      <w:r>
        <w:rPr>
          <w:rFonts w:asciiTheme="minorEastAsia" w:eastAsiaTheme="minorEastAsia" w:hAnsiTheme="minorEastAsia" w:hint="eastAsia"/>
          <w:color w:val="000000" w:themeColor="text1"/>
          <w:szCs w:val="21"/>
        </w:rPr>
        <w:t>1、费用额度</w:t>
      </w:r>
      <w:r>
        <w:rPr>
          <w:rFonts w:asciiTheme="minorEastAsia" w:eastAsiaTheme="minorEastAsia" w:hAnsiTheme="minorEastAsia" w:cs="宋体" w:hint="eastAsia"/>
          <w:color w:val="000000" w:themeColor="text1"/>
          <w:kern w:val="0"/>
          <w:szCs w:val="21"/>
        </w:rPr>
        <w:t>按以下四类核算</w:t>
      </w:r>
      <w:r>
        <w:rPr>
          <w:rFonts w:asciiTheme="minorEastAsia" w:eastAsiaTheme="minorEastAsia" w:hAnsiTheme="minorEastAsia" w:hint="eastAsia"/>
          <w:color w:val="000000" w:themeColor="text1"/>
          <w:szCs w:val="21"/>
        </w:rPr>
        <w:t>：</w:t>
      </w:r>
    </w:p>
    <w:p w14:paraId="5241454C" w14:textId="77777777" w:rsidR="005A223D" w:rsidRDefault="00000000">
      <w:pPr>
        <w:spacing w:line="360" w:lineRule="auto"/>
        <w:rPr>
          <w:rFonts w:asciiTheme="minorEastAsia" w:eastAsiaTheme="minorEastAsia" w:hAnsiTheme="minorEastAsia" w:hint="eastAsia"/>
          <w:color w:val="000000" w:themeColor="text1"/>
          <w:szCs w:val="21"/>
        </w:rPr>
      </w:pPr>
      <w:r>
        <w:rPr>
          <w:rFonts w:asciiTheme="minorEastAsia" w:eastAsiaTheme="minorEastAsia" w:hAnsiTheme="minorEastAsia" w:hint="eastAsia"/>
          <w:b/>
          <w:bCs/>
          <w:color w:val="000000" w:themeColor="text1"/>
          <w:szCs w:val="21"/>
        </w:rPr>
        <w:t>（1）I类项目</w:t>
      </w:r>
      <w:r>
        <w:rPr>
          <w:rFonts w:asciiTheme="minorEastAsia" w:eastAsiaTheme="minorEastAsia" w:hAnsiTheme="minorEastAsia" w:hint="eastAsia"/>
          <w:color w:val="000000" w:themeColor="text1"/>
          <w:szCs w:val="21"/>
        </w:rPr>
        <w:t>（计入各省费用池）：</w:t>
      </w:r>
    </w:p>
    <w:p w14:paraId="12359AFC" w14:textId="77777777" w:rsidR="005A223D" w:rsidRDefault="00000000">
      <w:pPr>
        <w:numPr>
          <w:ilvl w:val="1"/>
          <w:numId w:val="4"/>
        </w:numPr>
        <w:spacing w:line="360" w:lineRule="auto"/>
        <w:rPr>
          <w:rFonts w:asciiTheme="minorEastAsia" w:eastAsiaTheme="minorEastAsia" w:hAnsiTheme="minorEastAsia" w:hint="eastAsia"/>
          <w:color w:val="000000" w:themeColor="text1"/>
          <w:szCs w:val="21"/>
        </w:rPr>
      </w:pPr>
      <w:r>
        <w:rPr>
          <w:rFonts w:asciiTheme="minorEastAsia" w:eastAsiaTheme="minorEastAsia" w:hAnsiTheme="minorEastAsia" w:hint="eastAsia"/>
          <w:color w:val="000000" w:themeColor="text1"/>
          <w:szCs w:val="21"/>
        </w:rPr>
        <w:t>深瑞产品（智联）</w:t>
      </w:r>
    </w:p>
    <w:p w14:paraId="60E51588" w14:textId="77777777" w:rsidR="005A223D" w:rsidRDefault="00000000">
      <w:pPr>
        <w:spacing w:line="360" w:lineRule="auto"/>
        <w:ind w:firstLine="425"/>
        <w:rPr>
          <w:rFonts w:asciiTheme="minorEastAsia" w:eastAsiaTheme="minorEastAsia" w:hAnsiTheme="minorEastAsia" w:hint="eastAsia"/>
          <w:color w:val="000000" w:themeColor="text1"/>
          <w:szCs w:val="21"/>
        </w:rPr>
      </w:pPr>
      <w:r>
        <w:rPr>
          <w:rFonts w:asciiTheme="minorEastAsia" w:eastAsiaTheme="minorEastAsia" w:hAnsiTheme="minorEastAsia" w:hint="eastAsia"/>
          <w:color w:val="000000" w:themeColor="text1"/>
          <w:szCs w:val="21"/>
        </w:rPr>
        <w:t>国网集招</w:t>
      </w:r>
      <w:r>
        <w:rPr>
          <w:rFonts w:asciiTheme="minorEastAsia" w:eastAsiaTheme="minorEastAsia" w:hAnsiTheme="minorEastAsia" w:cs="宋体" w:hint="eastAsia"/>
          <w:color w:val="000000" w:themeColor="text1"/>
          <w:kern w:val="0"/>
          <w:szCs w:val="21"/>
        </w:rPr>
        <w:t>按合同净额1%，</w:t>
      </w:r>
      <w:r>
        <w:rPr>
          <w:rFonts w:asciiTheme="minorEastAsia" w:hAnsiTheme="minorEastAsia" w:cs="宋体" w:hint="eastAsia"/>
          <w:color w:val="000000" w:themeColor="text1"/>
          <w:kern w:val="0"/>
          <w:szCs w:val="21"/>
        </w:rPr>
        <w:t>国网单一来源</w:t>
      </w:r>
      <w:r>
        <w:rPr>
          <w:rFonts w:asciiTheme="minorEastAsia" w:eastAsiaTheme="minorEastAsia" w:hAnsiTheme="minorEastAsia" w:cs="宋体" w:hint="eastAsia"/>
          <w:color w:val="000000" w:themeColor="text1"/>
          <w:kern w:val="0"/>
          <w:szCs w:val="21"/>
        </w:rPr>
        <w:t>、</w:t>
      </w:r>
      <w:r>
        <w:rPr>
          <w:rFonts w:asciiTheme="minorEastAsia" w:eastAsiaTheme="minorEastAsia" w:hAnsiTheme="minorEastAsia" w:hint="eastAsia"/>
          <w:color w:val="000000" w:themeColor="text1"/>
          <w:szCs w:val="21"/>
        </w:rPr>
        <w:t>南网框招按合同净额7%。</w:t>
      </w:r>
    </w:p>
    <w:p w14:paraId="06846EBA" w14:textId="77777777" w:rsidR="005A223D" w:rsidRDefault="005A223D">
      <w:pPr>
        <w:spacing w:line="360" w:lineRule="auto"/>
        <w:rPr>
          <w:rFonts w:asciiTheme="minorEastAsia" w:eastAsiaTheme="minorEastAsia" w:hAnsiTheme="minorEastAsia" w:hint="eastAsia"/>
          <w:color w:val="000000" w:themeColor="text1"/>
          <w:szCs w:val="21"/>
        </w:rPr>
      </w:pPr>
    </w:p>
    <w:p w14:paraId="317414EB" w14:textId="77777777" w:rsidR="005A223D" w:rsidRDefault="00000000">
      <w:pPr>
        <w:spacing w:line="360" w:lineRule="auto"/>
        <w:rPr>
          <w:rFonts w:asciiTheme="minorEastAsia" w:eastAsiaTheme="minorEastAsia" w:hAnsiTheme="minorEastAsia" w:hint="eastAsia"/>
          <w:color w:val="000000" w:themeColor="text1"/>
          <w:szCs w:val="21"/>
        </w:rPr>
      </w:pPr>
      <w:r>
        <w:rPr>
          <w:rFonts w:asciiTheme="minorEastAsia" w:eastAsiaTheme="minorEastAsia" w:hAnsiTheme="minorEastAsia" w:hint="eastAsia"/>
          <w:b/>
          <w:bCs/>
          <w:color w:val="000000" w:themeColor="text1"/>
          <w:szCs w:val="21"/>
        </w:rPr>
        <w:t>（2）II类项目</w:t>
      </w:r>
      <w:r>
        <w:rPr>
          <w:rFonts w:asciiTheme="minorEastAsia" w:eastAsiaTheme="minorEastAsia" w:hAnsiTheme="minorEastAsia" w:hint="eastAsia"/>
          <w:color w:val="000000" w:themeColor="text1"/>
          <w:szCs w:val="21"/>
        </w:rPr>
        <w:t>（计入各省费用池）：</w:t>
      </w:r>
    </w:p>
    <w:p w14:paraId="5E4844DC" w14:textId="77777777" w:rsidR="005A223D" w:rsidRDefault="00000000">
      <w:pPr>
        <w:numPr>
          <w:ilvl w:val="1"/>
          <w:numId w:val="4"/>
        </w:numPr>
        <w:spacing w:line="360" w:lineRule="auto"/>
        <w:rPr>
          <w:rFonts w:asciiTheme="minorEastAsia" w:eastAsiaTheme="minorEastAsia" w:hAnsiTheme="minorEastAsia" w:hint="eastAsia"/>
          <w:color w:val="000000" w:themeColor="text1"/>
          <w:szCs w:val="21"/>
        </w:rPr>
      </w:pPr>
      <w:r>
        <w:rPr>
          <w:rFonts w:asciiTheme="minorEastAsia" w:eastAsiaTheme="minorEastAsia" w:hAnsiTheme="minorEastAsia" w:hint="eastAsia"/>
          <w:color w:val="000000" w:themeColor="text1"/>
          <w:szCs w:val="21"/>
        </w:rPr>
        <w:t>深瑞产品（智联）</w:t>
      </w:r>
    </w:p>
    <w:p w14:paraId="493F7BBC" w14:textId="77777777" w:rsidR="005A223D" w:rsidRDefault="00000000">
      <w:pPr>
        <w:spacing w:line="360" w:lineRule="auto"/>
        <w:ind w:left="420"/>
        <w:rPr>
          <w:rFonts w:asciiTheme="minorEastAsia" w:eastAsiaTheme="minorEastAsia" w:hAnsiTheme="minorEastAsia" w:hint="eastAsia"/>
          <w:color w:val="000000" w:themeColor="text1"/>
          <w:szCs w:val="21"/>
        </w:rPr>
      </w:pPr>
      <w:r>
        <w:rPr>
          <w:rFonts w:asciiTheme="minorEastAsia" w:eastAsiaTheme="minorEastAsia" w:hAnsiTheme="minorEastAsia" w:hint="eastAsia"/>
          <w:color w:val="000000" w:themeColor="text1"/>
          <w:szCs w:val="21"/>
        </w:rPr>
        <w:t>系统外100万以内，及其它系统内项目（不含国网集招、南网框招）额度</w:t>
      </w:r>
      <w:r>
        <w:rPr>
          <w:rFonts w:asciiTheme="minorEastAsia" w:eastAsiaTheme="minorEastAsia" w:hAnsiTheme="minorEastAsia" w:cs="宋体" w:hint="eastAsia"/>
          <w:color w:val="000000" w:themeColor="text1"/>
          <w:kern w:val="0"/>
          <w:szCs w:val="21"/>
        </w:rPr>
        <w:t>系数如下：</w:t>
      </w:r>
    </w:p>
    <w:p w14:paraId="540310A0" w14:textId="77777777" w:rsidR="005A223D" w:rsidRDefault="00000000">
      <w:pPr>
        <w:numPr>
          <w:ilvl w:val="1"/>
          <w:numId w:val="1"/>
        </w:numPr>
        <w:spacing w:line="360" w:lineRule="auto"/>
        <w:rPr>
          <w:rFonts w:asciiTheme="minorEastAsia" w:eastAsiaTheme="minorEastAsia" w:hAnsiTheme="minorEastAsia" w:hint="eastAsia"/>
          <w:color w:val="000000" w:themeColor="text1"/>
          <w:szCs w:val="21"/>
        </w:rPr>
      </w:pPr>
      <w:r>
        <w:rPr>
          <w:rFonts w:asciiTheme="minorEastAsia" w:eastAsiaTheme="minorEastAsia" w:hAnsiTheme="minorEastAsia" w:hint="eastAsia"/>
          <w:color w:val="000000" w:themeColor="text1"/>
          <w:szCs w:val="21"/>
        </w:rPr>
        <w:t>净额公开价系数&gt;=1：常规产品按合同净额10%，1年以内新产品按合同净额25%。</w:t>
      </w:r>
    </w:p>
    <w:p w14:paraId="13D7EFC1" w14:textId="77777777" w:rsidR="005A223D" w:rsidRDefault="00000000">
      <w:pPr>
        <w:numPr>
          <w:ilvl w:val="1"/>
          <w:numId w:val="1"/>
        </w:numPr>
        <w:spacing w:line="360" w:lineRule="auto"/>
        <w:rPr>
          <w:rFonts w:asciiTheme="minorEastAsia" w:eastAsiaTheme="minorEastAsia" w:hAnsiTheme="minorEastAsia" w:hint="eastAsia"/>
          <w:color w:val="000000" w:themeColor="text1"/>
          <w:szCs w:val="21"/>
        </w:rPr>
      </w:pPr>
      <w:r>
        <w:rPr>
          <w:rFonts w:asciiTheme="minorEastAsia" w:eastAsiaTheme="minorEastAsia" w:hAnsiTheme="minorEastAsia" w:hint="eastAsia"/>
          <w:color w:val="000000" w:themeColor="text1"/>
          <w:szCs w:val="21"/>
        </w:rPr>
        <w:t>1&gt;净额公开价系数&gt;=0.7：常规产品按合同净额8%，1年以内新产品按合同净额16%。</w:t>
      </w:r>
    </w:p>
    <w:p w14:paraId="287FDB0D" w14:textId="77777777" w:rsidR="005A223D" w:rsidRDefault="00000000">
      <w:pPr>
        <w:numPr>
          <w:ilvl w:val="1"/>
          <w:numId w:val="1"/>
        </w:numPr>
        <w:spacing w:line="360" w:lineRule="auto"/>
        <w:rPr>
          <w:rFonts w:asciiTheme="minorEastAsia" w:eastAsiaTheme="minorEastAsia" w:hAnsiTheme="minorEastAsia" w:hint="eastAsia"/>
          <w:color w:val="000000" w:themeColor="text1"/>
          <w:szCs w:val="21"/>
        </w:rPr>
      </w:pPr>
      <w:r>
        <w:rPr>
          <w:rFonts w:asciiTheme="minorEastAsia" w:eastAsiaTheme="minorEastAsia" w:hAnsiTheme="minorEastAsia" w:hint="eastAsia"/>
          <w:color w:val="000000" w:themeColor="text1"/>
          <w:szCs w:val="21"/>
        </w:rPr>
        <w:t>0.7&gt;净额公开价系数&gt;=0.5：常规产品按合同净额7%，1年以内新产品按合同净额12%。</w:t>
      </w:r>
    </w:p>
    <w:p w14:paraId="0A792B31" w14:textId="77777777" w:rsidR="005A223D" w:rsidRDefault="00000000">
      <w:pPr>
        <w:numPr>
          <w:ilvl w:val="1"/>
          <w:numId w:val="1"/>
        </w:numPr>
        <w:spacing w:line="360" w:lineRule="auto"/>
        <w:rPr>
          <w:rFonts w:asciiTheme="minorEastAsia" w:eastAsiaTheme="minorEastAsia" w:hAnsiTheme="minorEastAsia" w:hint="eastAsia"/>
          <w:color w:val="000000" w:themeColor="text1"/>
          <w:szCs w:val="21"/>
        </w:rPr>
      </w:pPr>
      <w:r>
        <w:rPr>
          <w:rFonts w:asciiTheme="minorEastAsia" w:eastAsiaTheme="minorEastAsia" w:hAnsiTheme="minorEastAsia" w:hint="eastAsia"/>
          <w:color w:val="000000" w:themeColor="text1"/>
          <w:szCs w:val="21"/>
        </w:rPr>
        <w:t>0.5&gt;净额公开价系数&gt;=0.4：常规产品按合同净额6%，1年以内新产品按合同净额10%。</w:t>
      </w:r>
    </w:p>
    <w:p w14:paraId="426EA1BD" w14:textId="77777777" w:rsidR="005A223D" w:rsidRDefault="00000000">
      <w:pPr>
        <w:numPr>
          <w:ilvl w:val="1"/>
          <w:numId w:val="1"/>
        </w:numPr>
        <w:spacing w:line="360" w:lineRule="auto"/>
        <w:rPr>
          <w:rFonts w:asciiTheme="minorEastAsia" w:eastAsiaTheme="minorEastAsia" w:hAnsiTheme="minorEastAsia" w:hint="eastAsia"/>
          <w:color w:val="000000" w:themeColor="text1"/>
          <w:szCs w:val="21"/>
        </w:rPr>
      </w:pPr>
      <w:r>
        <w:rPr>
          <w:rFonts w:asciiTheme="minorEastAsia" w:eastAsiaTheme="minorEastAsia" w:hAnsiTheme="minorEastAsia" w:hint="eastAsia"/>
          <w:color w:val="000000" w:themeColor="text1"/>
          <w:szCs w:val="21"/>
        </w:rPr>
        <w:t>0.4&gt;净额公开价系数&gt;0.3：常规产品按合同净额3%，1年以内新产品按合同净额6%。</w:t>
      </w:r>
    </w:p>
    <w:p w14:paraId="78A8F411" w14:textId="77777777" w:rsidR="005A223D" w:rsidRDefault="00000000">
      <w:pPr>
        <w:numPr>
          <w:ilvl w:val="1"/>
          <w:numId w:val="1"/>
        </w:numPr>
        <w:spacing w:line="360" w:lineRule="auto"/>
        <w:rPr>
          <w:rFonts w:asciiTheme="minorEastAsia" w:eastAsiaTheme="minorEastAsia" w:hAnsiTheme="minorEastAsia" w:hint="eastAsia"/>
          <w:color w:val="000000" w:themeColor="text1"/>
          <w:szCs w:val="21"/>
        </w:rPr>
      </w:pPr>
      <w:r>
        <w:rPr>
          <w:rFonts w:asciiTheme="minorEastAsia" w:eastAsiaTheme="minorEastAsia" w:hAnsiTheme="minorEastAsia" w:hint="eastAsia"/>
          <w:color w:val="000000" w:themeColor="text1"/>
          <w:szCs w:val="21"/>
        </w:rPr>
        <w:t>0.3&gt;=净额公开价系数：无额度，且项目必须经总监报营销主任确认。</w:t>
      </w:r>
    </w:p>
    <w:p w14:paraId="7CA56A0F" w14:textId="77777777" w:rsidR="005A223D" w:rsidRDefault="00000000">
      <w:pPr>
        <w:numPr>
          <w:ilvl w:val="255"/>
          <w:numId w:val="0"/>
        </w:numPr>
        <w:spacing w:line="360" w:lineRule="auto"/>
        <w:ind w:left="780"/>
        <w:rPr>
          <w:rFonts w:asciiTheme="minorEastAsia" w:eastAsiaTheme="minorEastAsia" w:hAnsiTheme="minorEastAsia" w:hint="eastAsia"/>
          <w:color w:val="000000" w:themeColor="text1"/>
          <w:szCs w:val="21"/>
        </w:rPr>
      </w:pPr>
      <w:r>
        <w:rPr>
          <w:rFonts w:asciiTheme="minorEastAsia" w:eastAsiaTheme="minorEastAsia" w:hAnsiTheme="minorEastAsia" w:hint="eastAsia"/>
          <w:color w:val="000000" w:themeColor="text1"/>
          <w:szCs w:val="21"/>
        </w:rPr>
        <w:t>注1：对大区首台套项目按1年内新产品政策*150%，合同业绩统计按双倍考虑；1~3年新产品按1年内新产品政策*90%，3年以上重点新产品按1年以内新产品政策*80%；</w:t>
      </w:r>
    </w:p>
    <w:p w14:paraId="5EF080E8" w14:textId="77777777" w:rsidR="005A223D" w:rsidRDefault="00000000">
      <w:pPr>
        <w:numPr>
          <w:ilvl w:val="255"/>
          <w:numId w:val="0"/>
        </w:numPr>
        <w:spacing w:line="360" w:lineRule="auto"/>
        <w:ind w:left="780"/>
        <w:rPr>
          <w:rFonts w:asciiTheme="minorEastAsia" w:eastAsiaTheme="minorEastAsia" w:hAnsiTheme="minorEastAsia" w:hint="eastAsia"/>
          <w:color w:val="FF0000"/>
          <w:szCs w:val="21"/>
        </w:rPr>
      </w:pPr>
      <w:r>
        <w:rPr>
          <w:rFonts w:asciiTheme="minorEastAsia" w:eastAsiaTheme="minorEastAsia" w:hAnsiTheme="minorEastAsia" w:hint="eastAsia"/>
          <w:color w:val="FF0000"/>
          <w:szCs w:val="21"/>
        </w:rPr>
        <w:t>注2：对于智联产品，和深瑞产品政策一致。</w:t>
      </w:r>
    </w:p>
    <w:p w14:paraId="21E4A310" w14:textId="77777777" w:rsidR="005A223D" w:rsidRDefault="005A223D">
      <w:pPr>
        <w:spacing w:line="360" w:lineRule="auto"/>
        <w:rPr>
          <w:rFonts w:asciiTheme="minorEastAsia" w:eastAsiaTheme="minorEastAsia" w:hAnsiTheme="minorEastAsia" w:hint="eastAsia"/>
          <w:color w:val="000000" w:themeColor="text1"/>
          <w:szCs w:val="21"/>
        </w:rPr>
      </w:pPr>
    </w:p>
    <w:p w14:paraId="27E8ACF6" w14:textId="77777777" w:rsidR="005A223D" w:rsidRDefault="00000000">
      <w:pPr>
        <w:spacing w:line="360" w:lineRule="auto"/>
        <w:rPr>
          <w:rFonts w:asciiTheme="minorEastAsia" w:eastAsiaTheme="minorEastAsia" w:hAnsiTheme="minorEastAsia" w:hint="eastAsia"/>
          <w:color w:val="000000" w:themeColor="text1"/>
          <w:szCs w:val="21"/>
        </w:rPr>
      </w:pPr>
      <w:r>
        <w:rPr>
          <w:rFonts w:asciiTheme="minorEastAsia" w:eastAsiaTheme="minorEastAsia" w:hAnsiTheme="minorEastAsia" w:hint="eastAsia"/>
          <w:b/>
          <w:bCs/>
          <w:color w:val="000000" w:themeColor="text1"/>
          <w:szCs w:val="21"/>
        </w:rPr>
        <w:t>（3）III类项目：</w:t>
      </w:r>
      <w:r>
        <w:rPr>
          <w:rFonts w:asciiTheme="minorEastAsia" w:eastAsiaTheme="minorEastAsia" w:hAnsiTheme="minorEastAsia" w:hint="eastAsia"/>
          <w:color w:val="000000" w:themeColor="text1"/>
          <w:szCs w:val="21"/>
        </w:rPr>
        <w:t>（计入各省费用池）</w:t>
      </w:r>
    </w:p>
    <w:p w14:paraId="7229A7B5" w14:textId="77777777" w:rsidR="005A223D" w:rsidRDefault="00000000">
      <w:pPr>
        <w:spacing w:line="360" w:lineRule="auto"/>
        <w:ind w:left="420"/>
        <w:rPr>
          <w:rFonts w:asciiTheme="minorEastAsia" w:eastAsiaTheme="minorEastAsia" w:hAnsiTheme="minorEastAsia" w:hint="eastAsia"/>
          <w:color w:val="000000" w:themeColor="text1"/>
          <w:szCs w:val="21"/>
        </w:rPr>
      </w:pPr>
      <w:r>
        <w:rPr>
          <w:rFonts w:ascii="Calibri" w:eastAsiaTheme="minorEastAsia" w:hAnsi="Calibri" w:cs="Calibri"/>
          <w:color w:val="000000" w:themeColor="text1"/>
          <w:szCs w:val="21"/>
        </w:rPr>
        <w:t>①</w:t>
      </w:r>
      <w:r>
        <w:rPr>
          <w:rFonts w:asciiTheme="minorEastAsia" w:eastAsiaTheme="minorEastAsia" w:hAnsiTheme="minorEastAsia" w:hint="eastAsia"/>
          <w:color w:val="000000" w:themeColor="text1"/>
          <w:szCs w:val="21"/>
        </w:rPr>
        <w:t>深瑞产品（智联）</w:t>
      </w:r>
    </w:p>
    <w:p w14:paraId="39DE7947" w14:textId="77777777" w:rsidR="005A223D" w:rsidRDefault="00000000">
      <w:pPr>
        <w:spacing w:line="360" w:lineRule="auto"/>
        <w:rPr>
          <w:rFonts w:asciiTheme="minorEastAsia" w:eastAsiaTheme="minorEastAsia" w:hAnsiTheme="minorEastAsia" w:hint="eastAsia"/>
          <w:color w:val="000000" w:themeColor="text1"/>
          <w:szCs w:val="21"/>
        </w:rPr>
      </w:pPr>
      <w:r>
        <w:rPr>
          <w:rFonts w:asciiTheme="minorEastAsia" w:eastAsiaTheme="minorEastAsia" w:hAnsiTheme="minorEastAsia" w:hint="eastAsia"/>
          <w:color w:val="000000" w:themeColor="text1"/>
          <w:szCs w:val="21"/>
        </w:rPr>
        <w:t>系统外100万及以上项目，费用额度为合同额*核算系数*额度比率，核算系数与额度比率对照表如下，项目中如有新产品参照II类项目单独核算：</w:t>
      </w:r>
    </w:p>
    <w:p w14:paraId="54D285E2" w14:textId="77777777" w:rsidR="005A223D" w:rsidRDefault="005A223D">
      <w:pPr>
        <w:spacing w:line="360" w:lineRule="auto"/>
        <w:rPr>
          <w:rFonts w:asciiTheme="minorEastAsia" w:eastAsiaTheme="minorEastAsia" w:hAnsiTheme="minorEastAsia" w:hint="eastAsia"/>
          <w:color w:val="000000" w:themeColor="text1"/>
          <w:szCs w:val="21"/>
        </w:rPr>
      </w:pPr>
    </w:p>
    <w:p w14:paraId="02C4CCBA" w14:textId="77777777" w:rsidR="005A223D" w:rsidRDefault="005A223D">
      <w:pPr>
        <w:spacing w:line="360" w:lineRule="auto"/>
        <w:rPr>
          <w:rFonts w:asciiTheme="minorEastAsia" w:eastAsiaTheme="minorEastAsia" w:hAnsiTheme="minorEastAsia" w:hint="eastAsia"/>
          <w:color w:val="000000" w:themeColor="text1"/>
          <w:szCs w:val="21"/>
        </w:rPr>
      </w:pPr>
    </w:p>
    <w:p w14:paraId="4C9F8A1B" w14:textId="77777777" w:rsidR="005A223D" w:rsidRDefault="005A223D">
      <w:pPr>
        <w:spacing w:line="360" w:lineRule="auto"/>
        <w:ind w:left="420"/>
        <w:rPr>
          <w:rFonts w:asciiTheme="minorEastAsia" w:eastAsiaTheme="minorEastAsia" w:hAnsiTheme="minorEastAsia" w:hint="eastAsia"/>
          <w:color w:val="000000" w:themeColor="text1"/>
          <w:szCs w:val="21"/>
        </w:rPr>
      </w:pPr>
    </w:p>
    <w:tbl>
      <w:tblPr>
        <w:tblW w:w="7317" w:type="dxa"/>
        <w:jc w:val="center"/>
        <w:tblLook w:val="04A0" w:firstRow="1" w:lastRow="0" w:firstColumn="1" w:lastColumn="0" w:noHBand="0" w:noVBand="1"/>
      </w:tblPr>
      <w:tblGrid>
        <w:gridCol w:w="2115"/>
        <w:gridCol w:w="1040"/>
        <w:gridCol w:w="1041"/>
        <w:gridCol w:w="1041"/>
        <w:gridCol w:w="1040"/>
        <w:gridCol w:w="1040"/>
      </w:tblGrid>
      <w:tr w:rsidR="005A223D" w14:paraId="58655BA3" w14:textId="77777777">
        <w:trPr>
          <w:trHeight w:val="930"/>
          <w:jc w:val="center"/>
        </w:trPr>
        <w:tc>
          <w:tcPr>
            <w:tcW w:w="2115" w:type="dxa"/>
            <w:tcBorders>
              <w:top w:val="single" w:sz="8" w:space="0" w:color="auto"/>
              <w:left w:val="single" w:sz="8" w:space="0" w:color="auto"/>
              <w:bottom w:val="single" w:sz="8" w:space="0" w:color="auto"/>
              <w:right w:val="single" w:sz="8" w:space="0" w:color="auto"/>
              <w:tl2br w:val="single" w:sz="4" w:space="0" w:color="auto"/>
            </w:tcBorders>
            <w:shd w:val="clear" w:color="auto" w:fill="DEEBF6"/>
            <w:noWrap/>
            <w:vAlign w:val="center"/>
          </w:tcPr>
          <w:p w14:paraId="106F9112" w14:textId="77777777" w:rsidR="005A223D" w:rsidRDefault="00000000">
            <w:pPr>
              <w:widowControl/>
              <w:ind w:firstLineChars="700" w:firstLine="1265"/>
              <w:jc w:val="left"/>
              <w:textAlignment w:val="center"/>
              <w:rPr>
                <w:rFonts w:ascii="宋体" w:hAnsi="宋体" w:cs="宋体" w:hint="eastAsia"/>
                <w:b/>
                <w:bCs/>
                <w:color w:val="000000" w:themeColor="text1"/>
                <w:kern w:val="0"/>
                <w:sz w:val="18"/>
                <w:szCs w:val="18"/>
              </w:rPr>
            </w:pPr>
            <w:r>
              <w:rPr>
                <w:rFonts w:ascii="宋体" w:hAnsi="宋体" w:cs="宋体" w:hint="eastAsia"/>
                <w:b/>
                <w:bCs/>
                <w:color w:val="000000" w:themeColor="text1"/>
                <w:kern w:val="0"/>
                <w:sz w:val="18"/>
                <w:szCs w:val="18"/>
              </w:rPr>
              <w:t>额度比率</w:t>
            </w:r>
          </w:p>
          <w:p w14:paraId="0893BEEA" w14:textId="77777777" w:rsidR="005A223D" w:rsidRDefault="00000000">
            <w:pPr>
              <w:widowControl/>
              <w:jc w:val="left"/>
              <w:textAlignment w:val="center"/>
              <w:rPr>
                <w:rFonts w:ascii="宋体" w:hAnsi="宋体" w:cs="宋体" w:hint="eastAsia"/>
                <w:b/>
                <w:bCs/>
                <w:color w:val="000000" w:themeColor="text1"/>
                <w:kern w:val="0"/>
                <w:sz w:val="18"/>
                <w:szCs w:val="18"/>
              </w:rPr>
            </w:pPr>
            <w:r>
              <w:rPr>
                <w:rFonts w:ascii="宋体" w:hAnsi="宋体" w:cs="宋体" w:hint="eastAsia"/>
                <w:b/>
                <w:bCs/>
                <w:color w:val="000000" w:themeColor="text1"/>
                <w:kern w:val="0"/>
                <w:sz w:val="18"/>
                <w:szCs w:val="18"/>
              </w:rPr>
              <w:t>核算系数</w:t>
            </w:r>
          </w:p>
        </w:tc>
        <w:tc>
          <w:tcPr>
            <w:tcW w:w="1040" w:type="dxa"/>
            <w:tcBorders>
              <w:top w:val="single" w:sz="8" w:space="0" w:color="auto"/>
              <w:left w:val="nil"/>
              <w:bottom w:val="single" w:sz="8" w:space="0" w:color="auto"/>
              <w:right w:val="single" w:sz="8" w:space="0" w:color="auto"/>
            </w:tcBorders>
            <w:shd w:val="clear" w:color="auto" w:fill="DEEBF6"/>
            <w:vAlign w:val="center"/>
          </w:tcPr>
          <w:p w14:paraId="319FF3F8" w14:textId="77777777" w:rsidR="005A223D" w:rsidRDefault="00000000">
            <w:pPr>
              <w:widowControl/>
              <w:jc w:val="left"/>
              <w:textAlignment w:val="center"/>
              <w:rPr>
                <w:rFonts w:ascii="宋体" w:hAnsi="宋体" w:cs="宋体" w:hint="eastAsia"/>
                <w:b/>
                <w:bCs/>
                <w:color w:val="000000" w:themeColor="text1"/>
                <w:kern w:val="0"/>
                <w:sz w:val="18"/>
                <w:szCs w:val="18"/>
              </w:rPr>
            </w:pPr>
            <w:r>
              <w:rPr>
                <w:rFonts w:ascii="宋体" w:hAnsi="宋体" w:cs="宋体" w:hint="eastAsia"/>
                <w:b/>
                <w:bCs/>
                <w:color w:val="000000" w:themeColor="text1"/>
                <w:kern w:val="0"/>
                <w:sz w:val="20"/>
                <w:szCs w:val="20"/>
                <w:lang w:bidi="ar"/>
              </w:rPr>
              <w:t>A.</w:t>
            </w:r>
            <w:r>
              <w:rPr>
                <w:rFonts w:ascii="宋体" w:hAnsi="宋体" w:cs="宋体" w:hint="eastAsia"/>
                <w:b/>
                <w:bCs/>
                <w:color w:val="000000" w:themeColor="text1"/>
                <w:kern w:val="0"/>
                <w:sz w:val="18"/>
                <w:szCs w:val="18"/>
              </w:rPr>
              <w:t>100</w:t>
            </w:r>
            <w:r>
              <w:rPr>
                <w:rFonts w:ascii="宋体" w:hAnsi="宋体" w:cs="宋体" w:hint="eastAsia"/>
                <w:b/>
                <w:bCs/>
                <w:color w:val="000000" w:themeColor="text1"/>
                <w:kern w:val="0"/>
                <w:sz w:val="20"/>
                <w:szCs w:val="20"/>
                <w:lang w:bidi="ar"/>
              </w:rPr>
              <w:t>万≤金额&lt;4</w:t>
            </w:r>
            <w:r>
              <w:rPr>
                <w:rFonts w:ascii="宋体" w:hAnsi="宋体" w:cs="宋体" w:hint="eastAsia"/>
                <w:b/>
                <w:bCs/>
                <w:color w:val="000000" w:themeColor="text1"/>
                <w:kern w:val="0"/>
                <w:sz w:val="18"/>
                <w:szCs w:val="18"/>
              </w:rPr>
              <w:t>00</w:t>
            </w:r>
            <w:r>
              <w:rPr>
                <w:rFonts w:ascii="宋体" w:hAnsi="宋体" w:cs="宋体" w:hint="eastAsia"/>
                <w:b/>
                <w:bCs/>
                <w:color w:val="000000" w:themeColor="text1"/>
                <w:kern w:val="0"/>
                <w:sz w:val="20"/>
                <w:szCs w:val="20"/>
                <w:lang w:bidi="ar"/>
              </w:rPr>
              <w:t>万</w:t>
            </w:r>
          </w:p>
        </w:tc>
        <w:tc>
          <w:tcPr>
            <w:tcW w:w="1041" w:type="dxa"/>
            <w:tcBorders>
              <w:top w:val="single" w:sz="8" w:space="0" w:color="auto"/>
              <w:left w:val="nil"/>
              <w:bottom w:val="single" w:sz="8" w:space="0" w:color="auto"/>
              <w:right w:val="single" w:sz="8" w:space="0" w:color="auto"/>
            </w:tcBorders>
            <w:shd w:val="clear" w:color="auto" w:fill="DEEBF6"/>
            <w:vAlign w:val="center"/>
          </w:tcPr>
          <w:p w14:paraId="400F1B5E" w14:textId="77777777" w:rsidR="005A223D" w:rsidRDefault="00000000">
            <w:pPr>
              <w:widowControl/>
              <w:jc w:val="left"/>
              <w:textAlignment w:val="center"/>
              <w:rPr>
                <w:rFonts w:ascii="宋体" w:hAnsi="宋体" w:cs="宋体" w:hint="eastAsia"/>
                <w:b/>
                <w:bCs/>
                <w:color w:val="000000" w:themeColor="text1"/>
                <w:kern w:val="0"/>
                <w:sz w:val="18"/>
                <w:szCs w:val="18"/>
              </w:rPr>
            </w:pPr>
            <w:r>
              <w:rPr>
                <w:rFonts w:ascii="宋体" w:hAnsi="宋体" w:cs="宋体" w:hint="eastAsia"/>
                <w:b/>
                <w:bCs/>
                <w:color w:val="000000" w:themeColor="text1"/>
                <w:kern w:val="0"/>
                <w:sz w:val="20"/>
                <w:szCs w:val="20"/>
                <w:lang w:bidi="ar"/>
              </w:rPr>
              <w:t>C.</w:t>
            </w:r>
            <w:r>
              <w:rPr>
                <w:rFonts w:ascii="宋体" w:hAnsi="宋体" w:cs="宋体" w:hint="eastAsia"/>
                <w:b/>
                <w:bCs/>
                <w:color w:val="000000" w:themeColor="text1"/>
                <w:kern w:val="0"/>
                <w:sz w:val="18"/>
                <w:szCs w:val="18"/>
              </w:rPr>
              <w:t>400</w:t>
            </w:r>
            <w:r>
              <w:rPr>
                <w:rFonts w:ascii="宋体" w:hAnsi="宋体" w:cs="宋体" w:hint="eastAsia"/>
                <w:b/>
                <w:bCs/>
                <w:color w:val="000000" w:themeColor="text1"/>
                <w:kern w:val="0"/>
                <w:sz w:val="20"/>
                <w:szCs w:val="20"/>
                <w:lang w:bidi="ar"/>
              </w:rPr>
              <w:t>万≤金额&lt;</w:t>
            </w:r>
            <w:r>
              <w:rPr>
                <w:rFonts w:ascii="宋体" w:hAnsi="宋体" w:cs="宋体" w:hint="eastAsia"/>
                <w:b/>
                <w:bCs/>
                <w:color w:val="000000" w:themeColor="text1"/>
                <w:kern w:val="0"/>
                <w:sz w:val="18"/>
                <w:szCs w:val="18"/>
              </w:rPr>
              <w:t>800</w:t>
            </w:r>
            <w:r>
              <w:rPr>
                <w:rFonts w:ascii="宋体" w:hAnsi="宋体" w:cs="宋体" w:hint="eastAsia"/>
                <w:b/>
                <w:bCs/>
                <w:color w:val="000000" w:themeColor="text1"/>
                <w:kern w:val="0"/>
                <w:sz w:val="20"/>
                <w:szCs w:val="20"/>
                <w:lang w:bidi="ar"/>
              </w:rPr>
              <w:t>万</w:t>
            </w:r>
          </w:p>
        </w:tc>
        <w:tc>
          <w:tcPr>
            <w:tcW w:w="1041" w:type="dxa"/>
            <w:tcBorders>
              <w:top w:val="single" w:sz="8" w:space="0" w:color="auto"/>
              <w:left w:val="nil"/>
              <w:bottom w:val="single" w:sz="8" w:space="0" w:color="auto"/>
              <w:right w:val="single" w:sz="8" w:space="0" w:color="auto"/>
            </w:tcBorders>
            <w:shd w:val="clear" w:color="auto" w:fill="DEEBF6"/>
            <w:vAlign w:val="center"/>
          </w:tcPr>
          <w:p w14:paraId="747FB851" w14:textId="77777777" w:rsidR="005A223D" w:rsidRDefault="00000000">
            <w:pPr>
              <w:widowControl/>
              <w:jc w:val="left"/>
              <w:textAlignment w:val="center"/>
              <w:rPr>
                <w:rFonts w:ascii="宋体" w:hAnsi="宋体" w:cs="宋体" w:hint="eastAsia"/>
                <w:b/>
                <w:bCs/>
                <w:color w:val="000000" w:themeColor="text1"/>
                <w:kern w:val="0"/>
                <w:sz w:val="18"/>
                <w:szCs w:val="18"/>
              </w:rPr>
            </w:pPr>
            <w:r>
              <w:rPr>
                <w:rFonts w:ascii="宋体" w:hAnsi="宋体" w:cs="宋体" w:hint="eastAsia"/>
                <w:b/>
                <w:bCs/>
                <w:color w:val="000000" w:themeColor="text1"/>
                <w:kern w:val="0"/>
                <w:sz w:val="20"/>
                <w:szCs w:val="20"/>
                <w:lang w:bidi="ar"/>
              </w:rPr>
              <w:t>E.</w:t>
            </w:r>
            <w:r>
              <w:rPr>
                <w:rFonts w:ascii="宋体" w:hAnsi="宋体" w:cs="宋体" w:hint="eastAsia"/>
                <w:b/>
                <w:bCs/>
                <w:color w:val="000000" w:themeColor="text1"/>
                <w:kern w:val="0"/>
                <w:sz w:val="18"/>
                <w:szCs w:val="18"/>
              </w:rPr>
              <w:t>800</w:t>
            </w:r>
            <w:r>
              <w:rPr>
                <w:rFonts w:ascii="宋体" w:hAnsi="宋体" w:cs="宋体" w:hint="eastAsia"/>
                <w:b/>
                <w:bCs/>
                <w:color w:val="000000" w:themeColor="text1"/>
                <w:kern w:val="0"/>
                <w:sz w:val="20"/>
                <w:szCs w:val="20"/>
                <w:lang w:bidi="ar"/>
              </w:rPr>
              <w:t>万≤金额&lt;1000万</w:t>
            </w:r>
          </w:p>
        </w:tc>
        <w:tc>
          <w:tcPr>
            <w:tcW w:w="1040" w:type="dxa"/>
            <w:tcBorders>
              <w:top w:val="single" w:sz="8" w:space="0" w:color="auto"/>
              <w:left w:val="nil"/>
              <w:bottom w:val="single" w:sz="8" w:space="0" w:color="auto"/>
              <w:right w:val="single" w:sz="8" w:space="0" w:color="auto"/>
            </w:tcBorders>
            <w:shd w:val="clear" w:color="auto" w:fill="DEEBF6"/>
            <w:vAlign w:val="center"/>
          </w:tcPr>
          <w:p w14:paraId="1F8FE38F" w14:textId="77777777" w:rsidR="005A223D" w:rsidRDefault="00000000">
            <w:pPr>
              <w:widowControl/>
              <w:jc w:val="left"/>
              <w:textAlignment w:val="center"/>
              <w:rPr>
                <w:rFonts w:ascii="宋体" w:hAnsi="宋体" w:cs="宋体" w:hint="eastAsia"/>
                <w:b/>
                <w:bCs/>
                <w:color w:val="000000" w:themeColor="text1"/>
                <w:kern w:val="0"/>
                <w:sz w:val="18"/>
                <w:szCs w:val="18"/>
              </w:rPr>
            </w:pPr>
            <w:r>
              <w:rPr>
                <w:rFonts w:ascii="宋体" w:hAnsi="宋体" w:cs="宋体" w:hint="eastAsia"/>
                <w:b/>
                <w:bCs/>
                <w:color w:val="000000" w:themeColor="text1"/>
                <w:kern w:val="0"/>
                <w:sz w:val="20"/>
                <w:szCs w:val="20"/>
                <w:lang w:bidi="ar"/>
              </w:rPr>
              <w:t>F.10</w:t>
            </w:r>
            <w:r>
              <w:rPr>
                <w:rFonts w:ascii="宋体" w:hAnsi="宋体" w:cs="宋体" w:hint="eastAsia"/>
                <w:b/>
                <w:bCs/>
                <w:color w:val="000000" w:themeColor="text1"/>
                <w:kern w:val="0"/>
                <w:sz w:val="18"/>
                <w:szCs w:val="18"/>
              </w:rPr>
              <w:t>00</w:t>
            </w:r>
            <w:r>
              <w:rPr>
                <w:rFonts w:ascii="宋体" w:hAnsi="宋体" w:cs="宋体" w:hint="eastAsia"/>
                <w:b/>
                <w:bCs/>
                <w:color w:val="000000" w:themeColor="text1"/>
                <w:kern w:val="0"/>
                <w:sz w:val="20"/>
                <w:szCs w:val="20"/>
                <w:lang w:bidi="ar"/>
              </w:rPr>
              <w:t>万≤金额&lt;2000万</w:t>
            </w:r>
          </w:p>
        </w:tc>
        <w:tc>
          <w:tcPr>
            <w:tcW w:w="1040" w:type="dxa"/>
            <w:tcBorders>
              <w:top w:val="single" w:sz="8" w:space="0" w:color="auto"/>
              <w:left w:val="nil"/>
              <w:bottom w:val="single" w:sz="8" w:space="0" w:color="auto"/>
              <w:right w:val="single" w:sz="8" w:space="0" w:color="auto"/>
            </w:tcBorders>
            <w:shd w:val="clear" w:color="auto" w:fill="DEEBF6"/>
            <w:vAlign w:val="center"/>
          </w:tcPr>
          <w:p w14:paraId="0179C228" w14:textId="77777777" w:rsidR="005A223D" w:rsidRDefault="00000000">
            <w:pPr>
              <w:widowControl/>
              <w:jc w:val="left"/>
              <w:textAlignment w:val="center"/>
              <w:rPr>
                <w:rFonts w:ascii="宋体" w:hAnsi="宋体" w:cs="宋体" w:hint="eastAsia"/>
                <w:b/>
                <w:bCs/>
                <w:color w:val="000000" w:themeColor="text1"/>
                <w:kern w:val="0"/>
                <w:sz w:val="20"/>
                <w:szCs w:val="20"/>
                <w:lang w:bidi="ar"/>
              </w:rPr>
            </w:pPr>
            <w:r>
              <w:rPr>
                <w:rFonts w:ascii="宋体" w:hAnsi="宋体" w:cs="宋体"/>
                <w:b/>
                <w:bCs/>
                <w:color w:val="000000" w:themeColor="text1"/>
                <w:kern w:val="0"/>
                <w:sz w:val="20"/>
                <w:szCs w:val="20"/>
                <w:lang w:bidi="ar"/>
              </w:rPr>
              <w:t>G</w:t>
            </w:r>
            <w:r>
              <w:rPr>
                <w:rFonts w:ascii="宋体" w:hAnsi="宋体" w:cs="宋体" w:hint="eastAsia"/>
                <w:b/>
                <w:bCs/>
                <w:color w:val="000000" w:themeColor="text1"/>
                <w:kern w:val="0"/>
                <w:sz w:val="20"/>
                <w:szCs w:val="20"/>
                <w:lang w:bidi="ar"/>
              </w:rPr>
              <w:t>.金额≥2000万</w:t>
            </w:r>
          </w:p>
        </w:tc>
      </w:tr>
      <w:tr w:rsidR="005A223D" w14:paraId="5C5EE9A8" w14:textId="77777777">
        <w:trPr>
          <w:trHeight w:val="323"/>
          <w:jc w:val="center"/>
        </w:trPr>
        <w:tc>
          <w:tcPr>
            <w:tcW w:w="2115" w:type="dxa"/>
            <w:tcBorders>
              <w:top w:val="nil"/>
              <w:left w:val="single" w:sz="8" w:space="0" w:color="auto"/>
              <w:bottom w:val="single" w:sz="8" w:space="0" w:color="auto"/>
              <w:right w:val="single" w:sz="8" w:space="0" w:color="auto"/>
            </w:tcBorders>
            <w:noWrap/>
            <w:vAlign w:val="center"/>
          </w:tcPr>
          <w:p w14:paraId="099D674B" w14:textId="77777777" w:rsidR="005A223D" w:rsidRDefault="00000000">
            <w:pPr>
              <w:widowControl/>
              <w:jc w:val="lef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rPr>
              <w:t>A.核算系数≥50%</w:t>
            </w:r>
          </w:p>
        </w:tc>
        <w:tc>
          <w:tcPr>
            <w:tcW w:w="1040" w:type="dxa"/>
            <w:tcBorders>
              <w:top w:val="nil"/>
              <w:left w:val="nil"/>
              <w:bottom w:val="single" w:sz="8" w:space="0" w:color="auto"/>
              <w:right w:val="single" w:sz="8" w:space="0" w:color="auto"/>
            </w:tcBorders>
            <w:vAlign w:val="center"/>
          </w:tcPr>
          <w:p w14:paraId="12BCD04D"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0.</w:t>
            </w:r>
            <w:r>
              <w:rPr>
                <w:rFonts w:ascii="宋体" w:hAnsi="宋体" w:cs="宋体" w:hint="eastAsia"/>
                <w:color w:val="000000" w:themeColor="text1"/>
                <w:kern w:val="0"/>
                <w:sz w:val="18"/>
                <w:szCs w:val="18"/>
              </w:rPr>
              <w:t>22</w:t>
            </w:r>
          </w:p>
        </w:tc>
        <w:tc>
          <w:tcPr>
            <w:tcW w:w="1041" w:type="dxa"/>
            <w:tcBorders>
              <w:top w:val="nil"/>
              <w:left w:val="nil"/>
              <w:bottom w:val="single" w:sz="8" w:space="0" w:color="auto"/>
              <w:right w:val="single" w:sz="8" w:space="0" w:color="auto"/>
            </w:tcBorders>
            <w:vAlign w:val="center"/>
          </w:tcPr>
          <w:p w14:paraId="30DEC6D3"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0.</w:t>
            </w:r>
            <w:r>
              <w:rPr>
                <w:rFonts w:ascii="宋体" w:hAnsi="宋体" w:cs="宋体" w:hint="eastAsia"/>
                <w:color w:val="000000" w:themeColor="text1"/>
                <w:kern w:val="0"/>
                <w:sz w:val="18"/>
                <w:szCs w:val="18"/>
              </w:rPr>
              <w:t>22</w:t>
            </w:r>
          </w:p>
        </w:tc>
        <w:tc>
          <w:tcPr>
            <w:tcW w:w="1041" w:type="dxa"/>
            <w:tcBorders>
              <w:top w:val="nil"/>
              <w:left w:val="nil"/>
              <w:bottom w:val="single" w:sz="8" w:space="0" w:color="auto"/>
              <w:right w:val="single" w:sz="8" w:space="0" w:color="auto"/>
            </w:tcBorders>
            <w:vAlign w:val="center"/>
          </w:tcPr>
          <w:p w14:paraId="68E4EB00"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0.</w:t>
            </w:r>
            <w:r>
              <w:rPr>
                <w:rFonts w:ascii="宋体" w:hAnsi="宋体" w:cs="宋体" w:hint="eastAsia"/>
                <w:color w:val="000000" w:themeColor="text1"/>
                <w:kern w:val="0"/>
                <w:sz w:val="18"/>
                <w:szCs w:val="18"/>
              </w:rPr>
              <w:t>22</w:t>
            </w:r>
          </w:p>
        </w:tc>
        <w:tc>
          <w:tcPr>
            <w:tcW w:w="1040" w:type="dxa"/>
            <w:tcBorders>
              <w:top w:val="nil"/>
              <w:left w:val="nil"/>
              <w:bottom w:val="single" w:sz="8" w:space="0" w:color="auto"/>
              <w:right w:val="single" w:sz="8" w:space="0" w:color="auto"/>
            </w:tcBorders>
            <w:vAlign w:val="center"/>
          </w:tcPr>
          <w:p w14:paraId="5F2C6A98"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0.</w:t>
            </w:r>
            <w:r>
              <w:rPr>
                <w:rFonts w:ascii="宋体" w:hAnsi="宋体" w:cs="宋体" w:hint="eastAsia"/>
                <w:color w:val="000000" w:themeColor="text1"/>
                <w:kern w:val="0"/>
                <w:sz w:val="18"/>
                <w:szCs w:val="18"/>
              </w:rPr>
              <w:t>22</w:t>
            </w:r>
          </w:p>
        </w:tc>
        <w:tc>
          <w:tcPr>
            <w:tcW w:w="1040" w:type="dxa"/>
            <w:tcBorders>
              <w:top w:val="nil"/>
              <w:left w:val="nil"/>
              <w:bottom w:val="single" w:sz="8" w:space="0" w:color="auto"/>
              <w:right w:val="single" w:sz="8" w:space="0" w:color="auto"/>
            </w:tcBorders>
            <w:vAlign w:val="center"/>
          </w:tcPr>
          <w:p w14:paraId="397DE2CC"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0.</w:t>
            </w:r>
            <w:r>
              <w:rPr>
                <w:rFonts w:ascii="宋体" w:hAnsi="宋体" w:cs="宋体" w:hint="eastAsia"/>
                <w:color w:val="000000" w:themeColor="text1"/>
                <w:kern w:val="0"/>
                <w:sz w:val="18"/>
                <w:szCs w:val="18"/>
              </w:rPr>
              <w:t>22</w:t>
            </w:r>
          </w:p>
        </w:tc>
      </w:tr>
      <w:tr w:rsidR="005A223D" w14:paraId="142C8706" w14:textId="77777777">
        <w:trPr>
          <w:trHeight w:val="323"/>
          <w:jc w:val="center"/>
        </w:trPr>
        <w:tc>
          <w:tcPr>
            <w:tcW w:w="2115" w:type="dxa"/>
            <w:tcBorders>
              <w:top w:val="nil"/>
              <w:left w:val="single" w:sz="8" w:space="0" w:color="auto"/>
              <w:bottom w:val="single" w:sz="8" w:space="0" w:color="auto"/>
              <w:right w:val="single" w:sz="8" w:space="0" w:color="auto"/>
            </w:tcBorders>
            <w:noWrap/>
            <w:vAlign w:val="center"/>
          </w:tcPr>
          <w:p w14:paraId="4E719F6E" w14:textId="77777777" w:rsidR="005A223D" w:rsidRDefault="00000000">
            <w:pPr>
              <w:widowControl/>
              <w:jc w:val="lef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rPr>
              <w:t>C.30%≤核算系数&lt;50%</w:t>
            </w:r>
          </w:p>
        </w:tc>
        <w:tc>
          <w:tcPr>
            <w:tcW w:w="1040" w:type="dxa"/>
            <w:tcBorders>
              <w:top w:val="nil"/>
              <w:left w:val="nil"/>
              <w:bottom w:val="single" w:sz="8" w:space="0" w:color="auto"/>
              <w:right w:val="single" w:sz="8" w:space="0" w:color="auto"/>
            </w:tcBorders>
            <w:vAlign w:val="center"/>
          </w:tcPr>
          <w:p w14:paraId="63453C93"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0.</w:t>
            </w:r>
            <w:r>
              <w:rPr>
                <w:rFonts w:ascii="宋体" w:hAnsi="宋体" w:cs="宋体" w:hint="eastAsia"/>
                <w:color w:val="000000" w:themeColor="text1"/>
                <w:kern w:val="0"/>
                <w:sz w:val="18"/>
                <w:szCs w:val="18"/>
              </w:rPr>
              <w:t>20</w:t>
            </w:r>
          </w:p>
        </w:tc>
        <w:tc>
          <w:tcPr>
            <w:tcW w:w="1041" w:type="dxa"/>
            <w:tcBorders>
              <w:top w:val="nil"/>
              <w:left w:val="nil"/>
              <w:bottom w:val="single" w:sz="8" w:space="0" w:color="auto"/>
              <w:right w:val="single" w:sz="8" w:space="0" w:color="auto"/>
            </w:tcBorders>
            <w:vAlign w:val="center"/>
          </w:tcPr>
          <w:p w14:paraId="3E934AC1"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0.</w:t>
            </w:r>
            <w:r>
              <w:rPr>
                <w:rFonts w:ascii="宋体" w:hAnsi="宋体" w:cs="宋体" w:hint="eastAsia"/>
                <w:color w:val="000000" w:themeColor="text1"/>
                <w:kern w:val="0"/>
                <w:sz w:val="18"/>
                <w:szCs w:val="18"/>
              </w:rPr>
              <w:t>20</w:t>
            </w:r>
          </w:p>
        </w:tc>
        <w:tc>
          <w:tcPr>
            <w:tcW w:w="1041" w:type="dxa"/>
            <w:tcBorders>
              <w:top w:val="nil"/>
              <w:left w:val="nil"/>
              <w:bottom w:val="single" w:sz="8" w:space="0" w:color="auto"/>
              <w:right w:val="single" w:sz="8" w:space="0" w:color="auto"/>
            </w:tcBorders>
            <w:vAlign w:val="center"/>
          </w:tcPr>
          <w:p w14:paraId="41E2BD1F"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0.20</w:t>
            </w:r>
          </w:p>
        </w:tc>
        <w:tc>
          <w:tcPr>
            <w:tcW w:w="1040" w:type="dxa"/>
            <w:tcBorders>
              <w:top w:val="nil"/>
              <w:left w:val="nil"/>
              <w:bottom w:val="single" w:sz="8" w:space="0" w:color="auto"/>
              <w:right w:val="single" w:sz="8" w:space="0" w:color="auto"/>
            </w:tcBorders>
            <w:vAlign w:val="center"/>
          </w:tcPr>
          <w:p w14:paraId="0138573C"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0.20</w:t>
            </w:r>
          </w:p>
        </w:tc>
        <w:tc>
          <w:tcPr>
            <w:tcW w:w="1040" w:type="dxa"/>
            <w:tcBorders>
              <w:top w:val="nil"/>
              <w:left w:val="nil"/>
              <w:bottom w:val="single" w:sz="8" w:space="0" w:color="auto"/>
              <w:right w:val="single" w:sz="8" w:space="0" w:color="auto"/>
            </w:tcBorders>
            <w:vAlign w:val="center"/>
          </w:tcPr>
          <w:p w14:paraId="5866947B"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0.20</w:t>
            </w:r>
          </w:p>
        </w:tc>
      </w:tr>
      <w:tr w:rsidR="005A223D" w14:paraId="5DC25FEB" w14:textId="77777777">
        <w:trPr>
          <w:trHeight w:val="323"/>
          <w:jc w:val="center"/>
        </w:trPr>
        <w:tc>
          <w:tcPr>
            <w:tcW w:w="2115" w:type="dxa"/>
            <w:tcBorders>
              <w:top w:val="nil"/>
              <w:left w:val="single" w:sz="8" w:space="0" w:color="auto"/>
              <w:bottom w:val="single" w:sz="8" w:space="0" w:color="auto"/>
              <w:right w:val="single" w:sz="8" w:space="0" w:color="auto"/>
            </w:tcBorders>
            <w:noWrap/>
            <w:vAlign w:val="center"/>
          </w:tcPr>
          <w:p w14:paraId="638008F9" w14:textId="77777777" w:rsidR="005A223D" w:rsidRDefault="00000000">
            <w:pPr>
              <w:widowControl/>
              <w:jc w:val="lef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rPr>
              <w:t>E.20%≤核算系数&lt;30%</w:t>
            </w:r>
          </w:p>
        </w:tc>
        <w:tc>
          <w:tcPr>
            <w:tcW w:w="1040" w:type="dxa"/>
            <w:tcBorders>
              <w:top w:val="nil"/>
              <w:left w:val="nil"/>
              <w:bottom w:val="single" w:sz="8" w:space="0" w:color="auto"/>
              <w:right w:val="single" w:sz="8" w:space="0" w:color="auto"/>
            </w:tcBorders>
            <w:vAlign w:val="center"/>
          </w:tcPr>
          <w:p w14:paraId="4673CA96"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0.</w:t>
            </w:r>
            <w:r>
              <w:rPr>
                <w:rFonts w:ascii="宋体" w:hAnsi="宋体" w:cs="宋体" w:hint="eastAsia"/>
                <w:color w:val="000000" w:themeColor="text1"/>
                <w:kern w:val="0"/>
                <w:sz w:val="18"/>
                <w:szCs w:val="18"/>
              </w:rPr>
              <w:t>18</w:t>
            </w:r>
          </w:p>
        </w:tc>
        <w:tc>
          <w:tcPr>
            <w:tcW w:w="1041" w:type="dxa"/>
            <w:tcBorders>
              <w:top w:val="nil"/>
              <w:left w:val="nil"/>
              <w:bottom w:val="single" w:sz="8" w:space="0" w:color="auto"/>
              <w:right w:val="single" w:sz="8" w:space="0" w:color="auto"/>
            </w:tcBorders>
            <w:vAlign w:val="center"/>
          </w:tcPr>
          <w:p w14:paraId="53C9EAA5"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0.</w:t>
            </w:r>
            <w:r>
              <w:rPr>
                <w:rFonts w:ascii="宋体" w:hAnsi="宋体" w:cs="宋体" w:hint="eastAsia"/>
                <w:color w:val="000000" w:themeColor="text1"/>
                <w:kern w:val="0"/>
                <w:sz w:val="18"/>
                <w:szCs w:val="18"/>
              </w:rPr>
              <w:t>18</w:t>
            </w:r>
          </w:p>
        </w:tc>
        <w:tc>
          <w:tcPr>
            <w:tcW w:w="1041" w:type="dxa"/>
            <w:tcBorders>
              <w:top w:val="nil"/>
              <w:left w:val="nil"/>
              <w:bottom w:val="single" w:sz="8" w:space="0" w:color="auto"/>
              <w:right w:val="single" w:sz="8" w:space="0" w:color="auto"/>
            </w:tcBorders>
            <w:vAlign w:val="center"/>
          </w:tcPr>
          <w:p w14:paraId="5FC14C4D"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0.</w:t>
            </w:r>
            <w:r>
              <w:rPr>
                <w:rFonts w:ascii="宋体" w:hAnsi="宋体" w:cs="宋体" w:hint="eastAsia"/>
                <w:color w:val="000000" w:themeColor="text1"/>
                <w:kern w:val="0"/>
                <w:sz w:val="18"/>
                <w:szCs w:val="18"/>
              </w:rPr>
              <w:t>18</w:t>
            </w:r>
          </w:p>
        </w:tc>
        <w:tc>
          <w:tcPr>
            <w:tcW w:w="1040" w:type="dxa"/>
            <w:tcBorders>
              <w:top w:val="nil"/>
              <w:left w:val="nil"/>
              <w:bottom w:val="single" w:sz="8" w:space="0" w:color="auto"/>
              <w:right w:val="single" w:sz="8" w:space="0" w:color="auto"/>
            </w:tcBorders>
            <w:vAlign w:val="center"/>
          </w:tcPr>
          <w:p w14:paraId="5A76CB19"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0.</w:t>
            </w:r>
            <w:r>
              <w:rPr>
                <w:rFonts w:ascii="宋体" w:hAnsi="宋体" w:cs="宋体" w:hint="eastAsia"/>
                <w:color w:val="000000" w:themeColor="text1"/>
                <w:kern w:val="0"/>
                <w:sz w:val="18"/>
                <w:szCs w:val="18"/>
              </w:rPr>
              <w:t>18</w:t>
            </w:r>
          </w:p>
        </w:tc>
        <w:tc>
          <w:tcPr>
            <w:tcW w:w="1040" w:type="dxa"/>
            <w:tcBorders>
              <w:top w:val="nil"/>
              <w:left w:val="nil"/>
              <w:bottom w:val="single" w:sz="8" w:space="0" w:color="auto"/>
              <w:right w:val="single" w:sz="8" w:space="0" w:color="auto"/>
            </w:tcBorders>
            <w:vAlign w:val="center"/>
          </w:tcPr>
          <w:p w14:paraId="00C2A733"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0.</w:t>
            </w:r>
            <w:r>
              <w:rPr>
                <w:rFonts w:ascii="宋体" w:hAnsi="宋体" w:cs="宋体" w:hint="eastAsia"/>
                <w:color w:val="000000" w:themeColor="text1"/>
                <w:kern w:val="0"/>
                <w:sz w:val="18"/>
                <w:szCs w:val="18"/>
              </w:rPr>
              <w:t>18</w:t>
            </w:r>
          </w:p>
        </w:tc>
      </w:tr>
      <w:tr w:rsidR="005A223D" w14:paraId="032574AB" w14:textId="77777777">
        <w:trPr>
          <w:trHeight w:val="385"/>
          <w:jc w:val="center"/>
        </w:trPr>
        <w:tc>
          <w:tcPr>
            <w:tcW w:w="2115" w:type="dxa"/>
            <w:tcBorders>
              <w:top w:val="nil"/>
              <w:left w:val="single" w:sz="8" w:space="0" w:color="auto"/>
              <w:bottom w:val="single" w:sz="8" w:space="0" w:color="auto"/>
              <w:right w:val="single" w:sz="8" w:space="0" w:color="auto"/>
            </w:tcBorders>
            <w:noWrap/>
            <w:vAlign w:val="center"/>
          </w:tcPr>
          <w:p w14:paraId="26BE3ED4" w14:textId="77777777" w:rsidR="005A223D" w:rsidRDefault="00000000">
            <w:pPr>
              <w:widowControl/>
              <w:jc w:val="lef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rPr>
              <w:t>F.15%≤核算系数&lt;20%</w:t>
            </w:r>
          </w:p>
        </w:tc>
        <w:tc>
          <w:tcPr>
            <w:tcW w:w="1040" w:type="dxa"/>
            <w:tcBorders>
              <w:top w:val="nil"/>
              <w:left w:val="nil"/>
              <w:bottom w:val="single" w:sz="8" w:space="0" w:color="auto"/>
              <w:right w:val="single" w:sz="8" w:space="0" w:color="auto"/>
            </w:tcBorders>
            <w:vAlign w:val="center"/>
          </w:tcPr>
          <w:p w14:paraId="47818CDD"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0.</w:t>
            </w:r>
            <w:r>
              <w:rPr>
                <w:rFonts w:ascii="宋体" w:hAnsi="宋体" w:cs="宋体" w:hint="eastAsia"/>
                <w:color w:val="000000" w:themeColor="text1"/>
                <w:kern w:val="0"/>
                <w:sz w:val="18"/>
                <w:szCs w:val="18"/>
              </w:rPr>
              <w:t>16</w:t>
            </w:r>
          </w:p>
        </w:tc>
        <w:tc>
          <w:tcPr>
            <w:tcW w:w="1041" w:type="dxa"/>
            <w:tcBorders>
              <w:top w:val="nil"/>
              <w:left w:val="nil"/>
              <w:bottom w:val="single" w:sz="8" w:space="0" w:color="auto"/>
              <w:right w:val="single" w:sz="8" w:space="0" w:color="auto"/>
            </w:tcBorders>
            <w:vAlign w:val="center"/>
          </w:tcPr>
          <w:p w14:paraId="66310385"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0.</w:t>
            </w:r>
            <w:r>
              <w:rPr>
                <w:rFonts w:ascii="宋体" w:hAnsi="宋体" w:cs="宋体" w:hint="eastAsia"/>
                <w:color w:val="000000" w:themeColor="text1"/>
                <w:kern w:val="0"/>
                <w:sz w:val="18"/>
                <w:szCs w:val="18"/>
              </w:rPr>
              <w:t>16</w:t>
            </w:r>
          </w:p>
        </w:tc>
        <w:tc>
          <w:tcPr>
            <w:tcW w:w="1041" w:type="dxa"/>
            <w:tcBorders>
              <w:top w:val="nil"/>
              <w:left w:val="nil"/>
              <w:bottom w:val="single" w:sz="8" w:space="0" w:color="auto"/>
              <w:right w:val="single" w:sz="8" w:space="0" w:color="auto"/>
            </w:tcBorders>
            <w:vAlign w:val="center"/>
          </w:tcPr>
          <w:p w14:paraId="53BF3E9D"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0.</w:t>
            </w:r>
            <w:r>
              <w:rPr>
                <w:rFonts w:ascii="宋体" w:hAnsi="宋体" w:cs="宋体" w:hint="eastAsia"/>
                <w:color w:val="000000" w:themeColor="text1"/>
                <w:kern w:val="0"/>
                <w:sz w:val="18"/>
                <w:szCs w:val="18"/>
              </w:rPr>
              <w:t>16</w:t>
            </w:r>
          </w:p>
        </w:tc>
        <w:tc>
          <w:tcPr>
            <w:tcW w:w="1040" w:type="dxa"/>
            <w:tcBorders>
              <w:top w:val="nil"/>
              <w:left w:val="nil"/>
              <w:bottom w:val="single" w:sz="8" w:space="0" w:color="auto"/>
              <w:right w:val="single" w:sz="8" w:space="0" w:color="auto"/>
            </w:tcBorders>
            <w:vAlign w:val="center"/>
          </w:tcPr>
          <w:p w14:paraId="15C31EE6"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0.</w:t>
            </w:r>
            <w:r>
              <w:rPr>
                <w:rFonts w:ascii="宋体" w:hAnsi="宋体" w:cs="宋体" w:hint="eastAsia"/>
                <w:color w:val="000000" w:themeColor="text1"/>
                <w:kern w:val="0"/>
                <w:sz w:val="18"/>
                <w:szCs w:val="18"/>
              </w:rPr>
              <w:t>16</w:t>
            </w:r>
          </w:p>
        </w:tc>
        <w:tc>
          <w:tcPr>
            <w:tcW w:w="1040" w:type="dxa"/>
            <w:tcBorders>
              <w:top w:val="nil"/>
              <w:left w:val="nil"/>
              <w:bottom w:val="single" w:sz="8" w:space="0" w:color="auto"/>
              <w:right w:val="single" w:sz="8" w:space="0" w:color="auto"/>
            </w:tcBorders>
            <w:vAlign w:val="center"/>
          </w:tcPr>
          <w:p w14:paraId="48FCB845"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0.</w:t>
            </w:r>
            <w:r>
              <w:rPr>
                <w:rFonts w:ascii="宋体" w:hAnsi="宋体" w:cs="宋体" w:hint="eastAsia"/>
                <w:color w:val="000000" w:themeColor="text1"/>
                <w:kern w:val="0"/>
                <w:sz w:val="18"/>
                <w:szCs w:val="18"/>
              </w:rPr>
              <w:t>16</w:t>
            </w:r>
          </w:p>
        </w:tc>
      </w:tr>
      <w:tr w:rsidR="005A223D" w14:paraId="1D87BE54" w14:textId="77777777">
        <w:trPr>
          <w:trHeight w:val="323"/>
          <w:jc w:val="center"/>
        </w:trPr>
        <w:tc>
          <w:tcPr>
            <w:tcW w:w="2115" w:type="dxa"/>
            <w:tcBorders>
              <w:top w:val="nil"/>
              <w:left w:val="single" w:sz="8" w:space="0" w:color="auto"/>
              <w:bottom w:val="single" w:sz="8" w:space="0" w:color="auto"/>
              <w:right w:val="single" w:sz="8" w:space="0" w:color="auto"/>
            </w:tcBorders>
            <w:noWrap/>
            <w:vAlign w:val="center"/>
          </w:tcPr>
          <w:p w14:paraId="0F19A7C7" w14:textId="77777777" w:rsidR="005A223D" w:rsidRDefault="00000000">
            <w:pPr>
              <w:widowControl/>
              <w:jc w:val="lef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rPr>
              <w:t>H.13%≤核算系数&lt;15%</w:t>
            </w:r>
          </w:p>
        </w:tc>
        <w:tc>
          <w:tcPr>
            <w:tcW w:w="1040" w:type="dxa"/>
            <w:tcBorders>
              <w:top w:val="nil"/>
              <w:left w:val="nil"/>
              <w:bottom w:val="single" w:sz="8" w:space="0" w:color="auto"/>
              <w:right w:val="single" w:sz="8" w:space="0" w:color="auto"/>
            </w:tcBorders>
            <w:shd w:val="clear" w:color="auto" w:fill="FFFF00"/>
            <w:vAlign w:val="center"/>
          </w:tcPr>
          <w:p w14:paraId="638F7461"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0</w:t>
            </w:r>
          </w:p>
        </w:tc>
        <w:tc>
          <w:tcPr>
            <w:tcW w:w="1041" w:type="dxa"/>
            <w:tcBorders>
              <w:top w:val="nil"/>
              <w:left w:val="nil"/>
              <w:bottom w:val="single" w:sz="8" w:space="0" w:color="auto"/>
              <w:right w:val="single" w:sz="8" w:space="0" w:color="auto"/>
            </w:tcBorders>
            <w:vAlign w:val="center"/>
          </w:tcPr>
          <w:p w14:paraId="5EB34285"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0.</w:t>
            </w:r>
            <w:r>
              <w:rPr>
                <w:rFonts w:ascii="宋体" w:hAnsi="宋体" w:cs="宋体" w:hint="eastAsia"/>
                <w:color w:val="000000" w:themeColor="text1"/>
                <w:kern w:val="0"/>
                <w:sz w:val="18"/>
                <w:szCs w:val="18"/>
              </w:rPr>
              <w:t>14</w:t>
            </w:r>
          </w:p>
        </w:tc>
        <w:tc>
          <w:tcPr>
            <w:tcW w:w="1041" w:type="dxa"/>
            <w:tcBorders>
              <w:top w:val="nil"/>
              <w:left w:val="nil"/>
              <w:bottom w:val="single" w:sz="8" w:space="0" w:color="auto"/>
              <w:right w:val="single" w:sz="8" w:space="0" w:color="auto"/>
            </w:tcBorders>
            <w:vAlign w:val="center"/>
          </w:tcPr>
          <w:p w14:paraId="6D29ED08"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0.</w:t>
            </w:r>
            <w:r>
              <w:rPr>
                <w:rFonts w:ascii="宋体" w:hAnsi="宋体" w:cs="宋体" w:hint="eastAsia"/>
                <w:color w:val="000000" w:themeColor="text1"/>
                <w:kern w:val="0"/>
                <w:sz w:val="18"/>
                <w:szCs w:val="18"/>
              </w:rPr>
              <w:t>14</w:t>
            </w:r>
          </w:p>
        </w:tc>
        <w:tc>
          <w:tcPr>
            <w:tcW w:w="1040" w:type="dxa"/>
            <w:tcBorders>
              <w:top w:val="nil"/>
              <w:left w:val="nil"/>
              <w:bottom w:val="single" w:sz="8" w:space="0" w:color="auto"/>
              <w:right w:val="single" w:sz="8" w:space="0" w:color="auto"/>
            </w:tcBorders>
            <w:vAlign w:val="center"/>
          </w:tcPr>
          <w:p w14:paraId="2DF75327"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0.</w:t>
            </w:r>
            <w:r>
              <w:rPr>
                <w:rFonts w:ascii="宋体" w:hAnsi="宋体" w:cs="宋体" w:hint="eastAsia"/>
                <w:color w:val="000000" w:themeColor="text1"/>
                <w:kern w:val="0"/>
                <w:sz w:val="18"/>
                <w:szCs w:val="18"/>
              </w:rPr>
              <w:t>14</w:t>
            </w:r>
          </w:p>
        </w:tc>
        <w:tc>
          <w:tcPr>
            <w:tcW w:w="1040" w:type="dxa"/>
            <w:tcBorders>
              <w:top w:val="nil"/>
              <w:left w:val="nil"/>
              <w:bottom w:val="single" w:sz="8" w:space="0" w:color="auto"/>
              <w:right w:val="single" w:sz="8" w:space="0" w:color="auto"/>
            </w:tcBorders>
            <w:vAlign w:val="center"/>
          </w:tcPr>
          <w:p w14:paraId="1E0106AB"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0.</w:t>
            </w:r>
            <w:r>
              <w:rPr>
                <w:rFonts w:ascii="宋体" w:hAnsi="宋体" w:cs="宋体" w:hint="eastAsia"/>
                <w:color w:val="000000" w:themeColor="text1"/>
                <w:kern w:val="0"/>
                <w:sz w:val="18"/>
                <w:szCs w:val="18"/>
              </w:rPr>
              <w:t>14</w:t>
            </w:r>
          </w:p>
        </w:tc>
      </w:tr>
      <w:tr w:rsidR="005A223D" w14:paraId="05070D91" w14:textId="77777777">
        <w:trPr>
          <w:trHeight w:val="323"/>
          <w:jc w:val="center"/>
        </w:trPr>
        <w:tc>
          <w:tcPr>
            <w:tcW w:w="2115" w:type="dxa"/>
            <w:tcBorders>
              <w:top w:val="nil"/>
              <w:left w:val="single" w:sz="8" w:space="0" w:color="auto"/>
              <w:bottom w:val="single" w:sz="8" w:space="0" w:color="auto"/>
              <w:right w:val="single" w:sz="8" w:space="0" w:color="auto"/>
            </w:tcBorders>
            <w:noWrap/>
            <w:vAlign w:val="center"/>
          </w:tcPr>
          <w:p w14:paraId="524E9C0E" w14:textId="77777777" w:rsidR="005A223D" w:rsidRDefault="00000000">
            <w:pPr>
              <w:widowControl/>
              <w:jc w:val="lef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rPr>
              <w:t>J.11%≤核算系数&lt;13%</w:t>
            </w:r>
          </w:p>
        </w:tc>
        <w:tc>
          <w:tcPr>
            <w:tcW w:w="1040" w:type="dxa"/>
            <w:tcBorders>
              <w:top w:val="nil"/>
              <w:left w:val="nil"/>
              <w:bottom w:val="single" w:sz="8" w:space="0" w:color="auto"/>
              <w:right w:val="single" w:sz="8" w:space="0" w:color="auto"/>
            </w:tcBorders>
            <w:shd w:val="clear" w:color="auto" w:fill="FFFF00"/>
            <w:vAlign w:val="center"/>
          </w:tcPr>
          <w:p w14:paraId="0926BFDD"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0</w:t>
            </w:r>
          </w:p>
        </w:tc>
        <w:tc>
          <w:tcPr>
            <w:tcW w:w="1041" w:type="dxa"/>
            <w:tcBorders>
              <w:top w:val="nil"/>
              <w:left w:val="nil"/>
              <w:bottom w:val="single" w:sz="8" w:space="0" w:color="auto"/>
              <w:right w:val="single" w:sz="8" w:space="0" w:color="auto"/>
            </w:tcBorders>
            <w:shd w:val="clear" w:color="auto" w:fill="FFFF00"/>
            <w:vAlign w:val="center"/>
          </w:tcPr>
          <w:p w14:paraId="76491CD0"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0</w:t>
            </w:r>
          </w:p>
        </w:tc>
        <w:tc>
          <w:tcPr>
            <w:tcW w:w="1041" w:type="dxa"/>
            <w:tcBorders>
              <w:top w:val="nil"/>
              <w:left w:val="nil"/>
              <w:bottom w:val="single" w:sz="8" w:space="0" w:color="auto"/>
              <w:right w:val="single" w:sz="8" w:space="0" w:color="auto"/>
            </w:tcBorders>
            <w:vAlign w:val="center"/>
          </w:tcPr>
          <w:p w14:paraId="074C2CA4"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0.</w:t>
            </w:r>
            <w:r>
              <w:rPr>
                <w:rFonts w:ascii="宋体" w:hAnsi="宋体" w:cs="宋体" w:hint="eastAsia"/>
                <w:color w:val="000000" w:themeColor="text1"/>
                <w:kern w:val="0"/>
                <w:sz w:val="18"/>
                <w:szCs w:val="18"/>
              </w:rPr>
              <w:t>12</w:t>
            </w:r>
          </w:p>
        </w:tc>
        <w:tc>
          <w:tcPr>
            <w:tcW w:w="1040" w:type="dxa"/>
            <w:tcBorders>
              <w:top w:val="nil"/>
              <w:left w:val="nil"/>
              <w:bottom w:val="single" w:sz="8" w:space="0" w:color="auto"/>
              <w:right w:val="single" w:sz="8" w:space="0" w:color="auto"/>
            </w:tcBorders>
            <w:vAlign w:val="center"/>
          </w:tcPr>
          <w:p w14:paraId="57A85CEB"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0.</w:t>
            </w:r>
            <w:r>
              <w:rPr>
                <w:rFonts w:ascii="宋体" w:hAnsi="宋体" w:cs="宋体" w:hint="eastAsia"/>
                <w:color w:val="000000" w:themeColor="text1"/>
                <w:kern w:val="0"/>
                <w:sz w:val="18"/>
                <w:szCs w:val="18"/>
              </w:rPr>
              <w:t>12</w:t>
            </w:r>
          </w:p>
        </w:tc>
        <w:tc>
          <w:tcPr>
            <w:tcW w:w="1040" w:type="dxa"/>
            <w:tcBorders>
              <w:top w:val="nil"/>
              <w:left w:val="nil"/>
              <w:bottom w:val="single" w:sz="8" w:space="0" w:color="auto"/>
              <w:right w:val="single" w:sz="8" w:space="0" w:color="auto"/>
            </w:tcBorders>
            <w:vAlign w:val="center"/>
          </w:tcPr>
          <w:p w14:paraId="067D3FA6"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0.</w:t>
            </w:r>
            <w:r>
              <w:rPr>
                <w:rFonts w:ascii="宋体" w:hAnsi="宋体" w:cs="宋体" w:hint="eastAsia"/>
                <w:color w:val="000000" w:themeColor="text1"/>
                <w:kern w:val="0"/>
                <w:sz w:val="18"/>
                <w:szCs w:val="18"/>
              </w:rPr>
              <w:t>12</w:t>
            </w:r>
          </w:p>
        </w:tc>
      </w:tr>
      <w:tr w:rsidR="005A223D" w14:paraId="1A42F572" w14:textId="77777777">
        <w:trPr>
          <w:trHeight w:val="323"/>
          <w:jc w:val="center"/>
        </w:trPr>
        <w:tc>
          <w:tcPr>
            <w:tcW w:w="2115" w:type="dxa"/>
            <w:tcBorders>
              <w:top w:val="nil"/>
              <w:left w:val="single" w:sz="8" w:space="0" w:color="auto"/>
              <w:bottom w:val="single" w:sz="8" w:space="0" w:color="auto"/>
              <w:right w:val="single" w:sz="8" w:space="0" w:color="auto"/>
            </w:tcBorders>
            <w:noWrap/>
            <w:vAlign w:val="center"/>
          </w:tcPr>
          <w:p w14:paraId="3C664E9A" w14:textId="77777777" w:rsidR="005A223D" w:rsidRDefault="00000000">
            <w:pPr>
              <w:widowControl/>
              <w:jc w:val="lef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rPr>
              <w:t>K.10%≤核算系数&lt;11%</w:t>
            </w:r>
          </w:p>
        </w:tc>
        <w:tc>
          <w:tcPr>
            <w:tcW w:w="1040" w:type="dxa"/>
            <w:tcBorders>
              <w:top w:val="nil"/>
              <w:left w:val="nil"/>
              <w:bottom w:val="single" w:sz="8" w:space="0" w:color="auto"/>
              <w:right w:val="single" w:sz="8" w:space="0" w:color="auto"/>
            </w:tcBorders>
            <w:shd w:val="clear" w:color="auto" w:fill="FFFF00"/>
            <w:vAlign w:val="center"/>
          </w:tcPr>
          <w:p w14:paraId="40E39D75"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0</w:t>
            </w:r>
          </w:p>
        </w:tc>
        <w:tc>
          <w:tcPr>
            <w:tcW w:w="1041" w:type="dxa"/>
            <w:tcBorders>
              <w:top w:val="nil"/>
              <w:left w:val="nil"/>
              <w:bottom w:val="single" w:sz="8" w:space="0" w:color="auto"/>
              <w:right w:val="single" w:sz="8" w:space="0" w:color="auto"/>
            </w:tcBorders>
            <w:shd w:val="clear" w:color="auto" w:fill="FFFF00"/>
            <w:vAlign w:val="center"/>
          </w:tcPr>
          <w:p w14:paraId="3D60D8D6"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0</w:t>
            </w:r>
          </w:p>
        </w:tc>
        <w:tc>
          <w:tcPr>
            <w:tcW w:w="1041" w:type="dxa"/>
            <w:tcBorders>
              <w:top w:val="nil"/>
              <w:left w:val="nil"/>
              <w:bottom w:val="single" w:sz="8" w:space="0" w:color="auto"/>
              <w:right w:val="single" w:sz="8" w:space="0" w:color="auto"/>
            </w:tcBorders>
            <w:shd w:val="clear" w:color="auto" w:fill="FFFF00"/>
            <w:vAlign w:val="center"/>
          </w:tcPr>
          <w:p w14:paraId="2487335C"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0</w:t>
            </w:r>
          </w:p>
        </w:tc>
        <w:tc>
          <w:tcPr>
            <w:tcW w:w="1040" w:type="dxa"/>
            <w:tcBorders>
              <w:top w:val="nil"/>
              <w:left w:val="nil"/>
              <w:bottom w:val="single" w:sz="8" w:space="0" w:color="auto"/>
              <w:right w:val="single" w:sz="8" w:space="0" w:color="auto"/>
            </w:tcBorders>
            <w:vAlign w:val="center"/>
          </w:tcPr>
          <w:p w14:paraId="2155D2B8"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0.</w:t>
            </w:r>
            <w:r>
              <w:rPr>
                <w:rFonts w:ascii="宋体" w:hAnsi="宋体" w:cs="宋体" w:hint="eastAsia"/>
                <w:color w:val="000000" w:themeColor="text1"/>
                <w:kern w:val="0"/>
                <w:sz w:val="18"/>
                <w:szCs w:val="18"/>
              </w:rPr>
              <w:t>10</w:t>
            </w:r>
          </w:p>
        </w:tc>
        <w:tc>
          <w:tcPr>
            <w:tcW w:w="1040" w:type="dxa"/>
            <w:tcBorders>
              <w:top w:val="nil"/>
              <w:left w:val="nil"/>
              <w:bottom w:val="single" w:sz="8" w:space="0" w:color="auto"/>
              <w:right w:val="single" w:sz="8" w:space="0" w:color="auto"/>
            </w:tcBorders>
            <w:vAlign w:val="center"/>
          </w:tcPr>
          <w:p w14:paraId="0F69DA67"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0.</w:t>
            </w:r>
            <w:r>
              <w:rPr>
                <w:rFonts w:ascii="宋体" w:hAnsi="宋体" w:cs="宋体" w:hint="eastAsia"/>
                <w:color w:val="000000" w:themeColor="text1"/>
                <w:kern w:val="0"/>
                <w:sz w:val="18"/>
                <w:szCs w:val="18"/>
              </w:rPr>
              <w:t>10</w:t>
            </w:r>
          </w:p>
        </w:tc>
      </w:tr>
      <w:tr w:rsidR="005A223D" w14:paraId="5658B396" w14:textId="77777777">
        <w:trPr>
          <w:trHeight w:val="323"/>
          <w:jc w:val="center"/>
        </w:trPr>
        <w:tc>
          <w:tcPr>
            <w:tcW w:w="2115" w:type="dxa"/>
            <w:tcBorders>
              <w:top w:val="nil"/>
              <w:left w:val="single" w:sz="8" w:space="0" w:color="auto"/>
              <w:bottom w:val="single" w:sz="4" w:space="0" w:color="auto"/>
              <w:right w:val="single" w:sz="8" w:space="0" w:color="auto"/>
            </w:tcBorders>
            <w:noWrap/>
            <w:vAlign w:val="center"/>
          </w:tcPr>
          <w:p w14:paraId="5043C7B6" w14:textId="77777777" w:rsidR="005A223D" w:rsidRDefault="00000000">
            <w:pPr>
              <w:widowControl/>
              <w:numPr>
                <w:ilvl w:val="0"/>
                <w:numId w:val="5"/>
              </w:numPr>
              <w:jc w:val="left"/>
              <w:textAlignment w:val="center"/>
              <w:rPr>
                <w:rFonts w:ascii="宋体" w:hAnsi="宋体" w:cs="宋体" w:hint="eastAsia"/>
                <w:color w:val="000000" w:themeColor="text1"/>
                <w:kern w:val="0"/>
                <w:sz w:val="18"/>
                <w:szCs w:val="18"/>
              </w:rPr>
            </w:pPr>
            <w:r>
              <w:rPr>
                <w:rFonts w:ascii="宋体" w:hAnsi="宋体" w:cs="宋体"/>
                <w:color w:val="000000" w:themeColor="text1"/>
                <w:kern w:val="0"/>
                <w:sz w:val="18"/>
                <w:szCs w:val="18"/>
              </w:rPr>
              <w:t>9</w:t>
            </w:r>
            <w:r>
              <w:rPr>
                <w:rFonts w:ascii="宋体" w:hAnsi="宋体" w:cs="宋体" w:hint="eastAsia"/>
                <w:color w:val="000000" w:themeColor="text1"/>
                <w:kern w:val="0"/>
                <w:sz w:val="18"/>
                <w:szCs w:val="18"/>
              </w:rPr>
              <w:t>%≤核算系数&lt;1</w:t>
            </w:r>
            <w:r>
              <w:rPr>
                <w:rFonts w:ascii="宋体" w:hAnsi="宋体" w:cs="宋体"/>
                <w:color w:val="000000" w:themeColor="text1"/>
                <w:kern w:val="0"/>
                <w:sz w:val="18"/>
                <w:szCs w:val="18"/>
              </w:rPr>
              <w:t>0</w:t>
            </w:r>
            <w:r>
              <w:rPr>
                <w:rFonts w:ascii="宋体" w:hAnsi="宋体" w:cs="宋体" w:hint="eastAsia"/>
                <w:color w:val="000000" w:themeColor="text1"/>
                <w:kern w:val="0"/>
                <w:sz w:val="18"/>
                <w:szCs w:val="18"/>
              </w:rPr>
              <w:t>%</w:t>
            </w:r>
          </w:p>
        </w:tc>
        <w:tc>
          <w:tcPr>
            <w:tcW w:w="1040" w:type="dxa"/>
            <w:tcBorders>
              <w:top w:val="nil"/>
              <w:left w:val="nil"/>
              <w:bottom w:val="single" w:sz="4" w:space="0" w:color="auto"/>
              <w:right w:val="single" w:sz="8" w:space="0" w:color="auto"/>
            </w:tcBorders>
            <w:shd w:val="clear" w:color="auto" w:fill="FFFF00"/>
            <w:vAlign w:val="center"/>
          </w:tcPr>
          <w:p w14:paraId="711C9654"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0</w:t>
            </w:r>
          </w:p>
        </w:tc>
        <w:tc>
          <w:tcPr>
            <w:tcW w:w="1041" w:type="dxa"/>
            <w:tcBorders>
              <w:top w:val="nil"/>
              <w:left w:val="nil"/>
              <w:bottom w:val="single" w:sz="4" w:space="0" w:color="auto"/>
              <w:right w:val="single" w:sz="8" w:space="0" w:color="auto"/>
            </w:tcBorders>
            <w:shd w:val="clear" w:color="auto" w:fill="FFFF00"/>
            <w:vAlign w:val="center"/>
          </w:tcPr>
          <w:p w14:paraId="6C640B1F"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0</w:t>
            </w:r>
          </w:p>
        </w:tc>
        <w:tc>
          <w:tcPr>
            <w:tcW w:w="1041" w:type="dxa"/>
            <w:tcBorders>
              <w:top w:val="nil"/>
              <w:left w:val="nil"/>
              <w:bottom w:val="single" w:sz="4" w:space="0" w:color="auto"/>
              <w:right w:val="single" w:sz="8" w:space="0" w:color="auto"/>
            </w:tcBorders>
            <w:shd w:val="clear" w:color="auto" w:fill="FFFF00"/>
            <w:vAlign w:val="center"/>
          </w:tcPr>
          <w:p w14:paraId="441488CD"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0</w:t>
            </w:r>
          </w:p>
        </w:tc>
        <w:tc>
          <w:tcPr>
            <w:tcW w:w="1040" w:type="dxa"/>
            <w:tcBorders>
              <w:top w:val="nil"/>
              <w:left w:val="nil"/>
              <w:bottom w:val="single" w:sz="4" w:space="0" w:color="auto"/>
              <w:right w:val="single" w:sz="8" w:space="0" w:color="auto"/>
            </w:tcBorders>
            <w:shd w:val="clear" w:color="auto" w:fill="FFFF00"/>
            <w:vAlign w:val="center"/>
          </w:tcPr>
          <w:p w14:paraId="4E75697E"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0</w:t>
            </w:r>
          </w:p>
        </w:tc>
        <w:tc>
          <w:tcPr>
            <w:tcW w:w="1040" w:type="dxa"/>
            <w:tcBorders>
              <w:top w:val="nil"/>
              <w:left w:val="nil"/>
              <w:bottom w:val="single" w:sz="4" w:space="0" w:color="auto"/>
              <w:right w:val="single" w:sz="8" w:space="0" w:color="auto"/>
            </w:tcBorders>
            <w:vAlign w:val="center"/>
          </w:tcPr>
          <w:p w14:paraId="134588F3"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0.</w:t>
            </w:r>
            <w:r>
              <w:rPr>
                <w:rFonts w:ascii="宋体" w:hAnsi="宋体" w:cs="宋体" w:hint="eastAsia"/>
                <w:color w:val="000000" w:themeColor="text1"/>
                <w:kern w:val="0"/>
                <w:sz w:val="18"/>
                <w:szCs w:val="18"/>
              </w:rPr>
              <w:t>10</w:t>
            </w:r>
          </w:p>
        </w:tc>
      </w:tr>
      <w:tr w:rsidR="005A223D" w14:paraId="5CC98084" w14:textId="77777777">
        <w:trPr>
          <w:trHeight w:val="355"/>
          <w:jc w:val="center"/>
        </w:trPr>
        <w:tc>
          <w:tcPr>
            <w:tcW w:w="2115" w:type="dxa"/>
            <w:tcBorders>
              <w:top w:val="single" w:sz="4" w:space="0" w:color="auto"/>
              <w:left w:val="single" w:sz="4" w:space="0" w:color="auto"/>
              <w:bottom w:val="single" w:sz="4" w:space="0" w:color="auto"/>
              <w:right w:val="single" w:sz="4" w:space="0" w:color="auto"/>
            </w:tcBorders>
            <w:noWrap/>
            <w:vAlign w:val="center"/>
          </w:tcPr>
          <w:p w14:paraId="752C9D17" w14:textId="77777777" w:rsidR="005A223D" w:rsidRDefault="00000000">
            <w:pPr>
              <w:widowControl/>
              <w:jc w:val="left"/>
              <w:textAlignment w:val="center"/>
              <w:rPr>
                <w:rFonts w:ascii="宋体" w:hAnsi="宋体" w:cs="宋体" w:hint="eastAsia"/>
                <w:color w:val="000000" w:themeColor="text1"/>
                <w:kern w:val="0"/>
                <w:sz w:val="18"/>
                <w:szCs w:val="18"/>
              </w:rPr>
            </w:pPr>
            <w:r>
              <w:rPr>
                <w:rFonts w:ascii="宋体" w:hAnsi="宋体" w:cs="宋体"/>
                <w:color w:val="000000" w:themeColor="text1"/>
                <w:kern w:val="0"/>
                <w:sz w:val="18"/>
                <w:szCs w:val="18"/>
              </w:rPr>
              <w:t>M</w:t>
            </w:r>
            <w:r>
              <w:rPr>
                <w:rFonts w:ascii="宋体" w:hAnsi="宋体" w:cs="宋体" w:hint="eastAsia"/>
                <w:color w:val="000000" w:themeColor="text1"/>
                <w:kern w:val="0"/>
                <w:sz w:val="18"/>
                <w:szCs w:val="18"/>
              </w:rPr>
              <w:t>.核算系数&lt;</w:t>
            </w:r>
            <w:r>
              <w:rPr>
                <w:rFonts w:ascii="宋体" w:hAnsi="宋体" w:cs="宋体"/>
                <w:color w:val="000000" w:themeColor="text1"/>
                <w:kern w:val="0"/>
                <w:sz w:val="18"/>
                <w:szCs w:val="18"/>
              </w:rPr>
              <w:t>9</w:t>
            </w:r>
            <w:r>
              <w:rPr>
                <w:rFonts w:ascii="宋体" w:hAnsi="宋体" w:cs="宋体" w:hint="eastAsia"/>
                <w:color w:val="000000" w:themeColor="text1"/>
                <w:kern w:val="0"/>
                <w:sz w:val="18"/>
                <w:szCs w:val="18"/>
              </w:rPr>
              <w:t>%</w:t>
            </w:r>
          </w:p>
        </w:tc>
        <w:tc>
          <w:tcPr>
            <w:tcW w:w="1040" w:type="dxa"/>
            <w:tcBorders>
              <w:top w:val="single" w:sz="4" w:space="0" w:color="auto"/>
              <w:left w:val="single" w:sz="4" w:space="0" w:color="auto"/>
              <w:bottom w:val="single" w:sz="4" w:space="0" w:color="auto"/>
              <w:right w:val="single" w:sz="4" w:space="0" w:color="auto"/>
            </w:tcBorders>
            <w:shd w:val="clear" w:color="auto" w:fill="FFFF00"/>
            <w:vAlign w:val="center"/>
          </w:tcPr>
          <w:p w14:paraId="0D3992D7"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0</w:t>
            </w:r>
          </w:p>
        </w:tc>
        <w:tc>
          <w:tcPr>
            <w:tcW w:w="1041" w:type="dxa"/>
            <w:tcBorders>
              <w:top w:val="single" w:sz="4" w:space="0" w:color="auto"/>
              <w:left w:val="single" w:sz="4" w:space="0" w:color="auto"/>
              <w:bottom w:val="single" w:sz="4" w:space="0" w:color="auto"/>
              <w:right w:val="single" w:sz="4" w:space="0" w:color="auto"/>
            </w:tcBorders>
            <w:shd w:val="clear" w:color="auto" w:fill="FFFF00"/>
            <w:vAlign w:val="center"/>
          </w:tcPr>
          <w:p w14:paraId="0D52EA10"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0</w:t>
            </w:r>
          </w:p>
        </w:tc>
        <w:tc>
          <w:tcPr>
            <w:tcW w:w="1041" w:type="dxa"/>
            <w:tcBorders>
              <w:top w:val="single" w:sz="4" w:space="0" w:color="auto"/>
              <w:left w:val="single" w:sz="4" w:space="0" w:color="auto"/>
              <w:bottom w:val="single" w:sz="4" w:space="0" w:color="auto"/>
              <w:right w:val="single" w:sz="4" w:space="0" w:color="auto"/>
            </w:tcBorders>
            <w:shd w:val="clear" w:color="auto" w:fill="FFFF00"/>
            <w:vAlign w:val="center"/>
          </w:tcPr>
          <w:p w14:paraId="7CDD7E94"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0</w:t>
            </w:r>
          </w:p>
        </w:tc>
        <w:tc>
          <w:tcPr>
            <w:tcW w:w="1040" w:type="dxa"/>
            <w:tcBorders>
              <w:top w:val="single" w:sz="4" w:space="0" w:color="auto"/>
              <w:left w:val="single" w:sz="4" w:space="0" w:color="auto"/>
              <w:bottom w:val="single" w:sz="4" w:space="0" w:color="auto"/>
              <w:right w:val="single" w:sz="4" w:space="0" w:color="auto"/>
            </w:tcBorders>
            <w:shd w:val="clear" w:color="auto" w:fill="FFFF00"/>
            <w:vAlign w:val="center"/>
          </w:tcPr>
          <w:p w14:paraId="2DBF1A8A"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0</w:t>
            </w:r>
          </w:p>
        </w:tc>
        <w:tc>
          <w:tcPr>
            <w:tcW w:w="1040" w:type="dxa"/>
            <w:tcBorders>
              <w:top w:val="single" w:sz="4" w:space="0" w:color="auto"/>
              <w:left w:val="single" w:sz="4" w:space="0" w:color="auto"/>
              <w:bottom w:val="single" w:sz="4" w:space="0" w:color="auto"/>
              <w:right w:val="single" w:sz="4" w:space="0" w:color="auto"/>
            </w:tcBorders>
            <w:shd w:val="clear" w:color="auto" w:fill="FFFF00"/>
            <w:vAlign w:val="center"/>
          </w:tcPr>
          <w:p w14:paraId="71BC7D3F"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0</w:t>
            </w:r>
          </w:p>
        </w:tc>
      </w:tr>
      <w:tr w:rsidR="005A223D" w14:paraId="3836108F" w14:textId="77777777">
        <w:trPr>
          <w:trHeight w:val="355"/>
          <w:jc w:val="center"/>
        </w:trPr>
        <w:tc>
          <w:tcPr>
            <w:tcW w:w="2115" w:type="dxa"/>
            <w:tcBorders>
              <w:top w:val="single" w:sz="4" w:space="0" w:color="auto"/>
              <w:left w:val="single" w:sz="4" w:space="0" w:color="auto"/>
              <w:bottom w:val="single" w:sz="4" w:space="0" w:color="auto"/>
              <w:right w:val="single" w:sz="4" w:space="0" w:color="auto"/>
            </w:tcBorders>
            <w:noWrap/>
            <w:vAlign w:val="center"/>
          </w:tcPr>
          <w:p w14:paraId="0E9CAF4E" w14:textId="77777777" w:rsidR="005A223D" w:rsidRDefault="00000000">
            <w:pPr>
              <w:widowControl/>
              <w:jc w:val="lef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rPr>
              <w:t>核算系数下限</w:t>
            </w:r>
          </w:p>
        </w:tc>
        <w:tc>
          <w:tcPr>
            <w:tcW w:w="1040" w:type="dxa"/>
            <w:tcBorders>
              <w:top w:val="single" w:sz="4" w:space="0" w:color="auto"/>
              <w:left w:val="single" w:sz="4" w:space="0" w:color="auto"/>
              <w:bottom w:val="single" w:sz="4" w:space="0" w:color="auto"/>
              <w:right w:val="single" w:sz="4" w:space="0" w:color="auto"/>
            </w:tcBorders>
            <w:vAlign w:val="center"/>
          </w:tcPr>
          <w:p w14:paraId="701D1819"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15%</w:t>
            </w:r>
          </w:p>
        </w:tc>
        <w:tc>
          <w:tcPr>
            <w:tcW w:w="1041" w:type="dxa"/>
            <w:tcBorders>
              <w:top w:val="single" w:sz="4" w:space="0" w:color="auto"/>
              <w:left w:val="single" w:sz="4" w:space="0" w:color="auto"/>
              <w:bottom w:val="single" w:sz="4" w:space="0" w:color="auto"/>
              <w:right w:val="single" w:sz="4" w:space="0" w:color="auto"/>
            </w:tcBorders>
            <w:vAlign w:val="center"/>
          </w:tcPr>
          <w:p w14:paraId="02DABC94"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13%</w:t>
            </w:r>
          </w:p>
        </w:tc>
        <w:tc>
          <w:tcPr>
            <w:tcW w:w="1041" w:type="dxa"/>
            <w:tcBorders>
              <w:top w:val="single" w:sz="4" w:space="0" w:color="auto"/>
              <w:left w:val="single" w:sz="4" w:space="0" w:color="auto"/>
              <w:bottom w:val="single" w:sz="4" w:space="0" w:color="auto"/>
              <w:right w:val="single" w:sz="4" w:space="0" w:color="auto"/>
            </w:tcBorders>
            <w:vAlign w:val="center"/>
          </w:tcPr>
          <w:p w14:paraId="470EC84E"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11%</w:t>
            </w:r>
          </w:p>
        </w:tc>
        <w:tc>
          <w:tcPr>
            <w:tcW w:w="1040" w:type="dxa"/>
            <w:tcBorders>
              <w:top w:val="single" w:sz="4" w:space="0" w:color="auto"/>
              <w:left w:val="single" w:sz="4" w:space="0" w:color="auto"/>
              <w:bottom w:val="single" w:sz="4" w:space="0" w:color="auto"/>
              <w:right w:val="single" w:sz="4" w:space="0" w:color="auto"/>
            </w:tcBorders>
            <w:vAlign w:val="center"/>
          </w:tcPr>
          <w:p w14:paraId="2029E072"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10%</w:t>
            </w:r>
          </w:p>
        </w:tc>
        <w:tc>
          <w:tcPr>
            <w:tcW w:w="1040" w:type="dxa"/>
            <w:tcBorders>
              <w:top w:val="single" w:sz="4" w:space="0" w:color="auto"/>
              <w:left w:val="single" w:sz="4" w:space="0" w:color="auto"/>
              <w:bottom w:val="single" w:sz="4" w:space="0" w:color="auto"/>
              <w:right w:val="single" w:sz="4" w:space="0" w:color="auto"/>
            </w:tcBorders>
            <w:vAlign w:val="center"/>
          </w:tcPr>
          <w:p w14:paraId="43F6C279" w14:textId="77777777" w:rsidR="005A223D" w:rsidRDefault="00000000">
            <w:pPr>
              <w:widowControl/>
              <w:jc w:val="right"/>
              <w:textAlignment w:val="center"/>
              <w:rPr>
                <w:rFonts w:ascii="宋体" w:hAnsi="宋体" w:cs="宋体" w:hint="eastAsia"/>
                <w:color w:val="000000" w:themeColor="text1"/>
                <w:kern w:val="0"/>
                <w:sz w:val="18"/>
                <w:szCs w:val="18"/>
              </w:rPr>
            </w:pPr>
            <w:r>
              <w:rPr>
                <w:rFonts w:ascii="宋体" w:hAnsi="宋体" w:cs="宋体" w:hint="eastAsia"/>
                <w:color w:val="000000" w:themeColor="text1"/>
                <w:kern w:val="0"/>
                <w:sz w:val="18"/>
                <w:szCs w:val="18"/>
                <w:lang w:bidi="ar"/>
              </w:rPr>
              <w:t>9%</w:t>
            </w:r>
          </w:p>
        </w:tc>
      </w:tr>
    </w:tbl>
    <w:p w14:paraId="4A5E17A3" w14:textId="77777777" w:rsidR="005A223D" w:rsidRDefault="005A223D">
      <w:pPr>
        <w:numPr>
          <w:ilvl w:val="255"/>
          <w:numId w:val="0"/>
        </w:numPr>
        <w:spacing w:line="360" w:lineRule="auto"/>
        <w:rPr>
          <w:rFonts w:asciiTheme="minorEastAsia" w:eastAsiaTheme="minorEastAsia" w:hAnsiTheme="minorEastAsia" w:hint="eastAsia"/>
          <w:color w:val="000000" w:themeColor="text1"/>
          <w:sz w:val="18"/>
          <w:szCs w:val="18"/>
        </w:rPr>
      </w:pPr>
    </w:p>
    <w:p w14:paraId="44838022" w14:textId="77777777" w:rsidR="005A223D" w:rsidRDefault="00000000">
      <w:pPr>
        <w:numPr>
          <w:ilvl w:val="255"/>
          <w:numId w:val="0"/>
        </w:numPr>
        <w:spacing w:line="360" w:lineRule="auto"/>
        <w:rPr>
          <w:rFonts w:asciiTheme="minorEastAsia" w:eastAsiaTheme="minorEastAsia" w:hAnsiTheme="minorEastAsia" w:hint="eastAsia"/>
          <w:color w:val="000000" w:themeColor="text1"/>
          <w:sz w:val="18"/>
          <w:szCs w:val="18"/>
        </w:rPr>
      </w:pPr>
      <w:r>
        <w:rPr>
          <w:rFonts w:asciiTheme="minorEastAsia" w:eastAsiaTheme="minorEastAsia" w:hAnsiTheme="minorEastAsia" w:hint="eastAsia"/>
          <w:color w:val="000000" w:themeColor="text1"/>
          <w:sz w:val="18"/>
          <w:szCs w:val="18"/>
        </w:rPr>
        <w:t>注1：核算系数=（合同总额-项目底价）/合同总额*100%；项目底价由产业公司商务部输出。</w:t>
      </w:r>
    </w:p>
    <w:p w14:paraId="3C1B4CCB" w14:textId="77777777" w:rsidR="005A223D" w:rsidRDefault="00000000">
      <w:pPr>
        <w:numPr>
          <w:ilvl w:val="255"/>
          <w:numId w:val="0"/>
        </w:numPr>
        <w:spacing w:line="360" w:lineRule="auto"/>
        <w:rPr>
          <w:rFonts w:asciiTheme="minorEastAsia" w:eastAsiaTheme="minorEastAsia" w:hAnsiTheme="minorEastAsia" w:cs="宋体" w:hint="eastAsia"/>
          <w:color w:val="000000" w:themeColor="text1"/>
          <w:kern w:val="0"/>
          <w:sz w:val="18"/>
          <w:szCs w:val="18"/>
        </w:rPr>
      </w:pPr>
      <w:r>
        <w:rPr>
          <w:rFonts w:asciiTheme="minorEastAsia" w:eastAsiaTheme="minorEastAsia" w:hAnsiTheme="minorEastAsia" w:hint="eastAsia"/>
          <w:color w:val="000000" w:themeColor="text1"/>
          <w:sz w:val="18"/>
          <w:szCs w:val="18"/>
        </w:rPr>
        <w:t>注2：</w:t>
      </w:r>
      <w:r>
        <w:rPr>
          <w:rFonts w:asciiTheme="minorEastAsia" w:eastAsiaTheme="minorEastAsia" w:hAnsiTheme="minorEastAsia" w:cs="宋体" w:hint="eastAsia"/>
          <w:color w:val="000000" w:themeColor="text1"/>
          <w:kern w:val="0"/>
          <w:sz w:val="18"/>
          <w:szCs w:val="18"/>
        </w:rPr>
        <w:t>对低于核算系数下限的管控项目</w:t>
      </w:r>
      <w:r>
        <w:rPr>
          <w:rFonts w:asciiTheme="minorEastAsia" w:eastAsiaTheme="minorEastAsia" w:hAnsiTheme="minorEastAsia" w:hint="eastAsia"/>
          <w:color w:val="000000" w:themeColor="text1"/>
          <w:sz w:val="18"/>
          <w:szCs w:val="18"/>
        </w:rPr>
        <w:t>必须经分管营销副主任确认</w:t>
      </w:r>
      <w:r>
        <w:rPr>
          <w:rFonts w:asciiTheme="minorEastAsia" w:eastAsiaTheme="minorEastAsia" w:hAnsiTheme="minorEastAsia" w:cs="宋体" w:hint="eastAsia"/>
          <w:color w:val="000000" w:themeColor="text1"/>
          <w:kern w:val="0"/>
          <w:sz w:val="18"/>
          <w:szCs w:val="18"/>
        </w:rPr>
        <w:t>，项目无费用额度。</w:t>
      </w:r>
    </w:p>
    <w:p w14:paraId="2C545AFE" w14:textId="77777777" w:rsidR="005A223D" w:rsidRDefault="00000000">
      <w:pPr>
        <w:numPr>
          <w:ilvl w:val="255"/>
          <w:numId w:val="0"/>
        </w:numPr>
        <w:spacing w:line="360" w:lineRule="auto"/>
        <w:rPr>
          <w:rFonts w:asciiTheme="minorEastAsia" w:eastAsiaTheme="minorEastAsia" w:hAnsiTheme="minorEastAsia" w:cs="宋体" w:hint="eastAsia"/>
          <w:color w:val="000000" w:themeColor="text1"/>
          <w:kern w:val="0"/>
          <w:sz w:val="18"/>
          <w:szCs w:val="18"/>
        </w:rPr>
      </w:pPr>
      <w:r>
        <w:rPr>
          <w:rFonts w:asciiTheme="minorEastAsia" w:eastAsiaTheme="minorEastAsia" w:hAnsiTheme="minorEastAsia" w:cs="宋体" w:hint="eastAsia"/>
          <w:color w:val="000000" w:themeColor="text1"/>
          <w:kern w:val="0"/>
          <w:sz w:val="18"/>
          <w:szCs w:val="18"/>
        </w:rPr>
        <w:t>注3：对于经公司评审通过的单体合同2000万以上重点项目，不受核算系数下限控制，相关费用额度专项审批计入；</w:t>
      </w:r>
    </w:p>
    <w:p w14:paraId="235FCEEF" w14:textId="77777777" w:rsidR="005A223D" w:rsidRDefault="005A223D">
      <w:pPr>
        <w:numPr>
          <w:ilvl w:val="255"/>
          <w:numId w:val="0"/>
        </w:numPr>
        <w:spacing w:line="360" w:lineRule="auto"/>
        <w:rPr>
          <w:rFonts w:asciiTheme="minorEastAsia" w:eastAsiaTheme="minorEastAsia" w:hAnsiTheme="minorEastAsia" w:cs="宋体" w:hint="eastAsia"/>
          <w:color w:val="000000" w:themeColor="text1"/>
          <w:kern w:val="0"/>
          <w:sz w:val="18"/>
          <w:szCs w:val="18"/>
        </w:rPr>
      </w:pPr>
    </w:p>
    <w:p w14:paraId="4B25E408" w14:textId="77777777" w:rsidR="005A223D" w:rsidRDefault="00000000">
      <w:pPr>
        <w:spacing w:line="360" w:lineRule="auto"/>
        <w:rPr>
          <w:rFonts w:asciiTheme="minorEastAsia" w:eastAsiaTheme="minorEastAsia" w:hAnsiTheme="minorEastAsia" w:hint="eastAsia"/>
          <w:color w:val="000000" w:themeColor="text1"/>
          <w:szCs w:val="21"/>
        </w:rPr>
      </w:pPr>
      <w:r>
        <w:rPr>
          <w:rFonts w:asciiTheme="minorEastAsia" w:eastAsiaTheme="minorEastAsia" w:hAnsiTheme="minorEastAsia" w:hint="eastAsia"/>
          <w:b/>
          <w:bCs/>
          <w:color w:val="000000" w:themeColor="text1"/>
          <w:szCs w:val="21"/>
        </w:rPr>
        <w:t>（4）</w:t>
      </w:r>
      <w:r>
        <w:rPr>
          <w:rFonts w:asciiTheme="minorEastAsia" w:eastAsiaTheme="minorEastAsia" w:hAnsiTheme="minorEastAsia"/>
          <w:b/>
          <w:bCs/>
          <w:color w:val="000000" w:themeColor="text1"/>
          <w:szCs w:val="21"/>
        </w:rPr>
        <w:t>V</w:t>
      </w:r>
      <w:r>
        <w:rPr>
          <w:rFonts w:asciiTheme="minorEastAsia" w:eastAsiaTheme="minorEastAsia" w:hAnsiTheme="minorEastAsia" w:hint="eastAsia"/>
          <w:b/>
          <w:bCs/>
          <w:color w:val="000000" w:themeColor="text1"/>
          <w:szCs w:val="21"/>
        </w:rPr>
        <w:t>类项目</w:t>
      </w:r>
      <w:r>
        <w:rPr>
          <w:rFonts w:asciiTheme="minorEastAsia" w:eastAsiaTheme="minorEastAsia" w:hAnsiTheme="minorEastAsia" w:hint="eastAsia"/>
          <w:color w:val="000000" w:themeColor="text1"/>
          <w:szCs w:val="21"/>
        </w:rPr>
        <w:t>（计入营销中心公共费用池）：</w:t>
      </w:r>
    </w:p>
    <w:p w14:paraId="564E9FA8" w14:textId="77777777" w:rsidR="005A223D" w:rsidRDefault="00000000">
      <w:pPr>
        <w:spacing w:line="360" w:lineRule="auto"/>
        <w:rPr>
          <w:rFonts w:asciiTheme="minorEastAsia" w:eastAsiaTheme="minorEastAsia" w:hAnsiTheme="minorEastAsia" w:hint="eastAsia"/>
          <w:color w:val="000000" w:themeColor="text1"/>
          <w:szCs w:val="21"/>
        </w:rPr>
      </w:pPr>
      <w:r>
        <w:rPr>
          <w:rFonts w:asciiTheme="minorEastAsia" w:eastAsiaTheme="minorEastAsia" w:hAnsiTheme="minorEastAsia" w:hint="eastAsia"/>
          <w:color w:val="000000" w:themeColor="text1"/>
          <w:szCs w:val="21"/>
        </w:rPr>
        <w:t>对大型投标项目，设置专项费用额度，计入营销中心公共费用池。智联直签产业项目，</w:t>
      </w:r>
      <w:r>
        <w:rPr>
          <w:rFonts w:asciiTheme="minorEastAsia" w:eastAsiaTheme="minorEastAsia" w:hAnsiTheme="minorEastAsia" w:cs="宋体" w:hint="eastAsia"/>
          <w:bCs/>
          <w:color w:val="000000" w:themeColor="text1"/>
          <w:kern w:val="0"/>
          <w:szCs w:val="21"/>
        </w:rPr>
        <w:t>经产业公司核算审批后，费用按梯度执行：</w:t>
      </w:r>
    </w:p>
    <w:p w14:paraId="4473DEC7" w14:textId="77777777" w:rsidR="005A223D" w:rsidRDefault="00000000">
      <w:pPr>
        <w:spacing w:line="360" w:lineRule="auto"/>
        <w:rPr>
          <w:rFonts w:asciiTheme="minorEastAsia" w:eastAsiaTheme="minorEastAsia" w:hAnsiTheme="minorEastAsia" w:cs="宋体" w:hint="eastAsia"/>
          <w:bCs/>
          <w:color w:val="FF0000"/>
          <w:kern w:val="0"/>
          <w:szCs w:val="21"/>
        </w:rPr>
      </w:pPr>
      <w:r>
        <w:rPr>
          <w:rFonts w:asciiTheme="minorEastAsia" w:eastAsiaTheme="minorEastAsia" w:hAnsiTheme="minorEastAsia" w:cs="宋体" w:hint="eastAsia"/>
          <w:bCs/>
          <w:color w:val="FF0000"/>
          <w:kern w:val="0"/>
          <w:szCs w:val="21"/>
        </w:rPr>
        <w:t>1）核算系数＞50%；按合同额20%；</w:t>
      </w:r>
    </w:p>
    <w:p w14:paraId="45E57A2F" w14:textId="77777777" w:rsidR="005A223D" w:rsidRDefault="00000000">
      <w:pPr>
        <w:spacing w:line="360" w:lineRule="auto"/>
        <w:rPr>
          <w:rFonts w:asciiTheme="minorEastAsia" w:eastAsiaTheme="minorEastAsia" w:hAnsiTheme="minorEastAsia" w:cs="宋体" w:hint="eastAsia"/>
          <w:bCs/>
          <w:color w:val="FF0000"/>
          <w:kern w:val="0"/>
          <w:szCs w:val="21"/>
        </w:rPr>
      </w:pPr>
      <w:r>
        <w:rPr>
          <w:rFonts w:asciiTheme="minorEastAsia" w:eastAsiaTheme="minorEastAsia" w:hAnsiTheme="minorEastAsia" w:cs="宋体" w:hint="eastAsia"/>
          <w:bCs/>
          <w:color w:val="FF0000"/>
          <w:kern w:val="0"/>
          <w:szCs w:val="21"/>
        </w:rPr>
        <w:t>2）50%＞核算系数≥45%；按合同额18%；</w:t>
      </w:r>
    </w:p>
    <w:p w14:paraId="72F962DA" w14:textId="77777777" w:rsidR="005A223D" w:rsidRDefault="00000000">
      <w:pPr>
        <w:spacing w:line="360" w:lineRule="auto"/>
        <w:rPr>
          <w:rFonts w:asciiTheme="minorEastAsia" w:eastAsiaTheme="minorEastAsia" w:hAnsiTheme="minorEastAsia" w:cs="宋体" w:hint="eastAsia"/>
          <w:bCs/>
          <w:color w:val="FF0000"/>
          <w:kern w:val="0"/>
          <w:szCs w:val="21"/>
        </w:rPr>
      </w:pPr>
      <w:r>
        <w:rPr>
          <w:rFonts w:asciiTheme="minorEastAsia" w:eastAsiaTheme="minorEastAsia" w:hAnsiTheme="minorEastAsia" w:cs="宋体" w:hint="eastAsia"/>
          <w:bCs/>
          <w:color w:val="FF0000"/>
          <w:kern w:val="0"/>
          <w:szCs w:val="21"/>
        </w:rPr>
        <w:t>3）45%＞核算系数≥40%；按合同额15%；</w:t>
      </w:r>
    </w:p>
    <w:p w14:paraId="0D8AF97F" w14:textId="77777777" w:rsidR="005A223D" w:rsidRDefault="00000000">
      <w:pPr>
        <w:spacing w:line="360" w:lineRule="auto"/>
        <w:rPr>
          <w:rFonts w:asciiTheme="minorEastAsia" w:eastAsiaTheme="minorEastAsia" w:hAnsiTheme="minorEastAsia" w:cs="宋体" w:hint="eastAsia"/>
          <w:bCs/>
          <w:color w:val="FF0000"/>
          <w:kern w:val="0"/>
          <w:szCs w:val="21"/>
        </w:rPr>
      </w:pPr>
      <w:r>
        <w:rPr>
          <w:rFonts w:asciiTheme="minorEastAsia" w:eastAsiaTheme="minorEastAsia" w:hAnsiTheme="minorEastAsia" w:cs="宋体" w:hint="eastAsia"/>
          <w:bCs/>
          <w:color w:val="FF0000"/>
          <w:kern w:val="0"/>
          <w:szCs w:val="21"/>
        </w:rPr>
        <w:t>4）40%＞核算系数≥30%；按合同额12%；</w:t>
      </w:r>
    </w:p>
    <w:p w14:paraId="623EC949" w14:textId="77777777" w:rsidR="005A223D" w:rsidRDefault="00000000">
      <w:pPr>
        <w:spacing w:line="360" w:lineRule="auto"/>
        <w:rPr>
          <w:rFonts w:asciiTheme="minorEastAsia" w:eastAsiaTheme="minorEastAsia" w:hAnsiTheme="minorEastAsia" w:cs="宋体" w:hint="eastAsia"/>
          <w:bCs/>
          <w:color w:val="FF0000"/>
          <w:kern w:val="0"/>
          <w:szCs w:val="21"/>
        </w:rPr>
      </w:pPr>
      <w:r>
        <w:rPr>
          <w:rFonts w:asciiTheme="minorEastAsia" w:eastAsiaTheme="minorEastAsia" w:hAnsiTheme="minorEastAsia" w:cs="宋体" w:hint="eastAsia"/>
          <w:bCs/>
          <w:color w:val="FF0000"/>
          <w:kern w:val="0"/>
          <w:szCs w:val="21"/>
        </w:rPr>
        <w:t>5）30%＞核算系数；必须经产业公司批准方可投标。</w:t>
      </w:r>
    </w:p>
    <w:p w14:paraId="0FAE9DC5" w14:textId="77777777" w:rsidR="005A223D" w:rsidRDefault="00000000">
      <w:pPr>
        <w:spacing w:line="360" w:lineRule="auto"/>
        <w:rPr>
          <w:rFonts w:asciiTheme="minorEastAsia" w:eastAsiaTheme="minorEastAsia" w:hAnsiTheme="minorEastAsia" w:cs="宋体" w:hint="eastAsia"/>
          <w:bCs/>
          <w:color w:val="000000" w:themeColor="text1"/>
          <w:kern w:val="0"/>
          <w:szCs w:val="21"/>
        </w:rPr>
      </w:pPr>
      <w:r>
        <w:rPr>
          <w:rFonts w:asciiTheme="minorEastAsia" w:eastAsiaTheme="minorEastAsia" w:hAnsiTheme="minorEastAsia" w:cs="宋体" w:hint="eastAsia"/>
          <w:bCs/>
          <w:color w:val="000000" w:themeColor="text1"/>
          <w:kern w:val="0"/>
          <w:szCs w:val="21"/>
        </w:rPr>
        <w:t>注1：核算系数=（合同总额-项目底价）/合同总额*100%；项目底价由产业公司商务部输出。</w:t>
      </w:r>
    </w:p>
    <w:p w14:paraId="2E506356" w14:textId="77777777" w:rsidR="005A223D" w:rsidRDefault="00000000">
      <w:pPr>
        <w:spacing w:line="360" w:lineRule="auto"/>
        <w:rPr>
          <w:rFonts w:asciiTheme="minorEastAsia" w:eastAsiaTheme="minorEastAsia" w:hAnsiTheme="minorEastAsia" w:hint="eastAsia"/>
          <w:color w:val="000000" w:themeColor="text1"/>
          <w:szCs w:val="21"/>
        </w:rPr>
      </w:pPr>
      <w:r>
        <w:rPr>
          <w:rFonts w:asciiTheme="minorEastAsia" w:eastAsiaTheme="minorEastAsia" w:hAnsiTheme="minorEastAsia" w:cs="宋体" w:hint="eastAsia"/>
          <w:bCs/>
          <w:color w:val="000000" w:themeColor="text1"/>
          <w:kern w:val="0"/>
          <w:szCs w:val="21"/>
        </w:rPr>
        <w:t>注2：</w:t>
      </w:r>
      <w:r>
        <w:rPr>
          <w:rFonts w:asciiTheme="minorEastAsia" w:eastAsiaTheme="minorEastAsia" w:hAnsiTheme="minorEastAsia" w:hint="eastAsia"/>
          <w:color w:val="000000" w:themeColor="text1"/>
          <w:szCs w:val="21"/>
        </w:rPr>
        <w:t>如超过费用额度，需专项申请，经产业公司审批后可执行；</w:t>
      </w:r>
    </w:p>
    <w:p w14:paraId="4B8BCFD5" w14:textId="77777777" w:rsidR="005A223D" w:rsidRDefault="00000000">
      <w:pPr>
        <w:spacing w:line="360" w:lineRule="auto"/>
        <w:rPr>
          <w:rFonts w:asciiTheme="minorEastAsia" w:eastAsiaTheme="minorEastAsia" w:hAnsiTheme="minorEastAsia" w:hint="eastAsia"/>
          <w:color w:val="000000" w:themeColor="text1"/>
          <w:szCs w:val="21"/>
        </w:rPr>
      </w:pPr>
      <w:r>
        <w:rPr>
          <w:rFonts w:asciiTheme="minorEastAsia" w:eastAsiaTheme="minorEastAsia" w:hAnsiTheme="minorEastAsia" w:hint="eastAsia"/>
          <w:color w:val="000000" w:themeColor="text1"/>
          <w:szCs w:val="21"/>
        </w:rPr>
        <w:t>注3：大型投标项目费用中标后一次性计入公司公共费用池，中标6个月后复核履约情况，如超履可计入大区费用池；中标1年后复核履约情况，如欠履则核减大区费用池；</w:t>
      </w:r>
    </w:p>
    <w:p w14:paraId="6993F6E7" w14:textId="77777777" w:rsidR="005A223D" w:rsidRDefault="00000000">
      <w:pPr>
        <w:numPr>
          <w:ilvl w:val="255"/>
          <w:numId w:val="0"/>
        </w:numPr>
        <w:spacing w:line="360" w:lineRule="auto"/>
        <w:rPr>
          <w:rFonts w:asciiTheme="minorEastAsia" w:eastAsiaTheme="minorEastAsia" w:hAnsiTheme="minorEastAsia" w:hint="eastAsia"/>
          <w:color w:val="000000" w:themeColor="text1"/>
          <w:szCs w:val="21"/>
        </w:rPr>
      </w:pPr>
      <w:r>
        <w:rPr>
          <w:rFonts w:asciiTheme="minorEastAsia" w:eastAsiaTheme="minorEastAsia" w:hAnsiTheme="minorEastAsia" w:hint="eastAsia"/>
          <w:color w:val="000000" w:themeColor="text1"/>
          <w:szCs w:val="21"/>
        </w:rPr>
        <w:t>发放说明：当中标后发放费用总额的25%，合同返回后发放费用总额的25%，当项目完整发</w:t>
      </w:r>
      <w:r>
        <w:rPr>
          <w:rFonts w:asciiTheme="minorEastAsia" w:eastAsiaTheme="minorEastAsia" w:hAnsiTheme="minorEastAsia" w:hint="eastAsia"/>
          <w:color w:val="000000" w:themeColor="text1"/>
          <w:szCs w:val="21"/>
        </w:rPr>
        <w:lastRenderedPageBreak/>
        <w:t>货后发放费用总额的25%，当项目回款大于50%启动发放剩余费用，发放金额等于费用总额*25%*（当期回款额/项目总合同额）；</w:t>
      </w:r>
    </w:p>
    <w:p w14:paraId="15FE423D" w14:textId="77777777" w:rsidR="005A223D" w:rsidRDefault="005A223D">
      <w:pPr>
        <w:spacing w:line="360" w:lineRule="auto"/>
        <w:rPr>
          <w:rFonts w:asciiTheme="minorEastAsia" w:eastAsiaTheme="minorEastAsia" w:hAnsiTheme="minorEastAsia" w:hint="eastAsia"/>
          <w:b/>
          <w:bCs/>
          <w:color w:val="000000" w:themeColor="text1"/>
          <w:szCs w:val="21"/>
        </w:rPr>
      </w:pPr>
    </w:p>
    <w:p w14:paraId="3B9B90FE" w14:textId="77777777" w:rsidR="005A223D" w:rsidRDefault="00000000">
      <w:pPr>
        <w:spacing w:line="360" w:lineRule="auto"/>
        <w:rPr>
          <w:rFonts w:asciiTheme="minorEastAsia" w:eastAsiaTheme="minorEastAsia" w:hAnsiTheme="minorEastAsia" w:hint="eastAsia"/>
          <w:b/>
          <w:bCs/>
          <w:color w:val="000000" w:themeColor="text1"/>
          <w:szCs w:val="21"/>
        </w:rPr>
      </w:pPr>
      <w:r>
        <w:rPr>
          <w:rFonts w:asciiTheme="minorEastAsia" w:eastAsiaTheme="minorEastAsia" w:hAnsiTheme="minorEastAsia" w:hint="eastAsia"/>
          <w:b/>
          <w:bCs/>
          <w:color w:val="000000" w:themeColor="text1"/>
          <w:szCs w:val="21"/>
        </w:rPr>
        <w:t>2、营销大区公共费：</w:t>
      </w:r>
    </w:p>
    <w:p w14:paraId="086FBB28" w14:textId="77777777" w:rsidR="005A223D" w:rsidRDefault="00000000">
      <w:pPr>
        <w:spacing w:line="360" w:lineRule="auto"/>
        <w:rPr>
          <w:rFonts w:asciiTheme="minorEastAsia" w:eastAsiaTheme="minorEastAsia" w:hAnsiTheme="minorEastAsia" w:hint="eastAsia"/>
          <w:color w:val="000000" w:themeColor="text1"/>
          <w:szCs w:val="21"/>
        </w:rPr>
      </w:pPr>
      <w:r>
        <w:rPr>
          <w:rFonts w:asciiTheme="minorEastAsia" w:eastAsiaTheme="minorEastAsia" w:hAnsiTheme="minorEastAsia" w:hint="eastAsia"/>
          <w:color w:val="000000" w:themeColor="text1"/>
          <w:szCs w:val="21"/>
        </w:rPr>
        <w:t>第一部分按大区总合同总额（不含国网集招及南网框招）0.3%；</w:t>
      </w:r>
    </w:p>
    <w:p w14:paraId="05F50B5D" w14:textId="77777777" w:rsidR="005A223D" w:rsidRDefault="00000000">
      <w:pPr>
        <w:spacing w:line="360" w:lineRule="auto"/>
        <w:rPr>
          <w:rFonts w:asciiTheme="minorEastAsia" w:eastAsiaTheme="minorEastAsia" w:hAnsiTheme="minorEastAsia" w:hint="eastAsia"/>
          <w:color w:val="000000" w:themeColor="text1"/>
          <w:szCs w:val="21"/>
        </w:rPr>
      </w:pPr>
      <w:r>
        <w:rPr>
          <w:rFonts w:asciiTheme="minorEastAsia" w:eastAsiaTheme="minorEastAsia" w:hAnsiTheme="minorEastAsia" w:hint="eastAsia"/>
          <w:color w:val="000000" w:themeColor="text1"/>
          <w:szCs w:val="21"/>
        </w:rPr>
        <w:t>第二部分按大区总费用额度结余（不含国网集招及南网框招）25%，从大区下辖省区费用池提取。</w:t>
      </w:r>
    </w:p>
    <w:p w14:paraId="57B698F1" w14:textId="77777777" w:rsidR="005A223D" w:rsidRDefault="005A223D">
      <w:pPr>
        <w:spacing w:line="360" w:lineRule="auto"/>
        <w:rPr>
          <w:rFonts w:asciiTheme="minorEastAsia" w:eastAsiaTheme="minorEastAsia" w:hAnsiTheme="minorEastAsia" w:hint="eastAsia"/>
          <w:b/>
          <w:bCs/>
          <w:color w:val="000000" w:themeColor="text1"/>
          <w:szCs w:val="21"/>
        </w:rPr>
      </w:pPr>
    </w:p>
    <w:p w14:paraId="5EE6DB43" w14:textId="77777777" w:rsidR="005A223D" w:rsidRDefault="00000000">
      <w:pPr>
        <w:spacing w:line="360" w:lineRule="auto"/>
        <w:rPr>
          <w:rFonts w:asciiTheme="minorEastAsia" w:eastAsiaTheme="minorEastAsia" w:hAnsiTheme="minorEastAsia" w:hint="eastAsia"/>
          <w:b/>
          <w:bCs/>
          <w:color w:val="000000" w:themeColor="text1"/>
          <w:szCs w:val="21"/>
        </w:rPr>
      </w:pPr>
      <w:r>
        <w:rPr>
          <w:rFonts w:asciiTheme="minorEastAsia" w:eastAsiaTheme="minorEastAsia" w:hAnsiTheme="minorEastAsia" w:hint="eastAsia"/>
          <w:b/>
          <w:bCs/>
          <w:color w:val="000000" w:themeColor="text1"/>
          <w:szCs w:val="21"/>
        </w:rPr>
        <w:t>3、营销中心公共费：</w:t>
      </w:r>
    </w:p>
    <w:p w14:paraId="5B50FCF5" w14:textId="77777777" w:rsidR="005A223D" w:rsidRDefault="00000000">
      <w:pPr>
        <w:numPr>
          <w:ilvl w:val="1"/>
          <w:numId w:val="6"/>
        </w:numPr>
        <w:spacing w:line="360" w:lineRule="auto"/>
        <w:rPr>
          <w:rFonts w:asciiTheme="minorEastAsia" w:eastAsiaTheme="minorEastAsia" w:hAnsiTheme="minorEastAsia" w:hint="eastAsia"/>
          <w:color w:val="000000" w:themeColor="text1"/>
          <w:szCs w:val="21"/>
        </w:rPr>
      </w:pPr>
      <w:r>
        <w:rPr>
          <w:rFonts w:asciiTheme="minorEastAsia" w:eastAsiaTheme="minorEastAsia" w:hAnsiTheme="minorEastAsia" w:hint="eastAsia"/>
          <w:color w:val="000000" w:themeColor="text1"/>
          <w:szCs w:val="21"/>
        </w:rPr>
        <w:t>深瑞产品、智联产品，按营销中心总合同总额1.5%（不含国网集招及南网框招）。</w:t>
      </w:r>
    </w:p>
    <w:p w14:paraId="30B1F60D" w14:textId="77777777" w:rsidR="005A223D" w:rsidRDefault="005A223D">
      <w:pPr>
        <w:spacing w:line="360" w:lineRule="auto"/>
        <w:rPr>
          <w:rFonts w:asciiTheme="minorEastAsia" w:eastAsiaTheme="minorEastAsia" w:hAnsiTheme="minorEastAsia" w:hint="eastAsia"/>
          <w:color w:val="000000" w:themeColor="text1"/>
          <w:szCs w:val="21"/>
        </w:rPr>
      </w:pPr>
    </w:p>
    <w:p w14:paraId="42F8304E" w14:textId="77777777" w:rsidR="005A223D" w:rsidRDefault="00000000">
      <w:pPr>
        <w:spacing w:line="360" w:lineRule="auto"/>
        <w:rPr>
          <w:rFonts w:asciiTheme="minorEastAsia" w:eastAsiaTheme="minorEastAsia" w:hAnsiTheme="minorEastAsia" w:hint="eastAsia"/>
          <w:color w:val="000000" w:themeColor="text1"/>
          <w:szCs w:val="21"/>
        </w:rPr>
      </w:pPr>
      <w:r>
        <w:rPr>
          <w:rFonts w:asciiTheme="minorEastAsia" w:eastAsiaTheme="minorEastAsia" w:hAnsiTheme="minorEastAsia" w:hint="eastAsia"/>
          <w:color w:val="000000" w:themeColor="text1"/>
          <w:szCs w:val="21"/>
        </w:rPr>
        <w:t>4、营销费用的发放与项目合同返回、完整发货、回款情况挂钩，具体如下：</w:t>
      </w:r>
    </w:p>
    <w:p w14:paraId="4454A08D" w14:textId="77777777" w:rsidR="005A223D" w:rsidRDefault="00000000">
      <w:pPr>
        <w:numPr>
          <w:ilvl w:val="0"/>
          <w:numId w:val="3"/>
        </w:numPr>
        <w:spacing w:line="360" w:lineRule="auto"/>
        <w:rPr>
          <w:rFonts w:asciiTheme="minorEastAsia" w:eastAsiaTheme="minorEastAsia" w:hAnsiTheme="minorEastAsia" w:hint="eastAsia"/>
          <w:color w:val="000000" w:themeColor="text1"/>
          <w:szCs w:val="21"/>
        </w:rPr>
      </w:pPr>
      <w:r>
        <w:rPr>
          <w:rFonts w:asciiTheme="minorEastAsia" w:eastAsiaTheme="minorEastAsia" w:hAnsiTheme="minorEastAsia" w:hint="eastAsia"/>
          <w:color w:val="000000" w:themeColor="text1"/>
          <w:szCs w:val="21"/>
        </w:rPr>
        <w:t>对网外项目（II、III类项目）：当合同返回后发放费用总额的50%，当项目完整发货后发放费用总额的25%，当项目回款大于50%启动发放剩余费用，发放金额等于费用总额*25%*（当期回款额/项目总合同额）。</w:t>
      </w:r>
    </w:p>
    <w:p w14:paraId="74FD69A0" w14:textId="77777777" w:rsidR="005A223D" w:rsidRDefault="005A223D">
      <w:pPr>
        <w:spacing w:line="360" w:lineRule="auto"/>
        <w:rPr>
          <w:rFonts w:asciiTheme="minorEastAsia" w:eastAsiaTheme="minorEastAsia" w:hAnsiTheme="minorEastAsia" w:hint="eastAsia"/>
          <w:color w:val="000000" w:themeColor="text1"/>
          <w:szCs w:val="21"/>
        </w:rPr>
      </w:pPr>
    </w:p>
    <w:p w14:paraId="5C3DA2B4" w14:textId="77777777" w:rsidR="005A223D" w:rsidRDefault="00000000">
      <w:pPr>
        <w:spacing w:line="360" w:lineRule="auto"/>
        <w:rPr>
          <w:rFonts w:asciiTheme="minorEastAsia" w:eastAsiaTheme="minorEastAsia" w:hAnsiTheme="minorEastAsia" w:hint="eastAsia"/>
          <w:color w:val="000000" w:themeColor="text1"/>
          <w:szCs w:val="21"/>
        </w:rPr>
      </w:pPr>
      <w:r>
        <w:rPr>
          <w:rFonts w:asciiTheme="minorEastAsia" w:eastAsiaTheme="minorEastAsia" w:hAnsiTheme="minorEastAsia" w:hint="eastAsia"/>
          <w:color w:val="000000" w:themeColor="text1"/>
          <w:szCs w:val="21"/>
        </w:rPr>
        <w:t>5、发货状态复核：对所发放费用额度的项目，如1年内未发货，或项目取消将追回所发放费用及奖金额度，并在当年合同统计中扣除相应合同额。对于1年内未发货项目，原因详实并经公司评审通过可给予延期，暂不处罚。</w:t>
      </w:r>
    </w:p>
    <w:p w14:paraId="0F22E5F6" w14:textId="77777777" w:rsidR="005A223D" w:rsidRDefault="005A223D">
      <w:pPr>
        <w:spacing w:line="360" w:lineRule="auto"/>
        <w:outlineLvl w:val="0"/>
        <w:rPr>
          <w:rFonts w:asciiTheme="minorEastAsia" w:eastAsiaTheme="minorEastAsia" w:hAnsiTheme="minorEastAsia" w:cs="宋体" w:hint="eastAsia"/>
          <w:b/>
          <w:color w:val="000000" w:themeColor="text1"/>
          <w:kern w:val="0"/>
          <w:szCs w:val="21"/>
        </w:rPr>
      </w:pPr>
    </w:p>
    <w:p w14:paraId="7D85F206" w14:textId="77777777" w:rsidR="005A223D" w:rsidRDefault="00000000">
      <w:pPr>
        <w:spacing w:line="360" w:lineRule="auto"/>
        <w:outlineLvl w:val="0"/>
        <w:rPr>
          <w:rFonts w:asciiTheme="minorEastAsia" w:eastAsiaTheme="minorEastAsia" w:hAnsiTheme="minorEastAsia" w:cs="宋体" w:hint="eastAsia"/>
          <w:b/>
          <w:color w:val="000000" w:themeColor="text1"/>
          <w:kern w:val="0"/>
          <w:szCs w:val="21"/>
        </w:rPr>
      </w:pPr>
      <w:r>
        <w:rPr>
          <w:rFonts w:asciiTheme="minorEastAsia" w:eastAsiaTheme="minorEastAsia" w:hAnsiTheme="minorEastAsia" w:cs="宋体" w:hint="eastAsia"/>
          <w:b/>
          <w:color w:val="000000" w:themeColor="text1"/>
          <w:kern w:val="0"/>
          <w:szCs w:val="21"/>
        </w:rPr>
        <w:t>3、大区额度结转、调剂及修正：</w:t>
      </w:r>
    </w:p>
    <w:p w14:paraId="5D7595A5" w14:textId="77777777" w:rsidR="005A223D" w:rsidRDefault="00000000">
      <w:pPr>
        <w:spacing w:line="360" w:lineRule="auto"/>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hint="eastAsia"/>
          <w:color w:val="000000" w:themeColor="text1"/>
          <w:kern w:val="0"/>
          <w:szCs w:val="21"/>
        </w:rPr>
        <w:t>1、按上一年度期末额度全部结转到下一年度期初额度；</w:t>
      </w:r>
    </w:p>
    <w:p w14:paraId="1FBACF2E" w14:textId="77777777" w:rsidR="005A223D" w:rsidRDefault="00000000">
      <w:pPr>
        <w:numPr>
          <w:ilvl w:val="255"/>
          <w:numId w:val="0"/>
        </w:numPr>
        <w:spacing w:line="360" w:lineRule="auto"/>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hint="eastAsia"/>
          <w:color w:val="000000" w:themeColor="text1"/>
          <w:kern w:val="0"/>
          <w:szCs w:val="21"/>
        </w:rPr>
        <w:t>2、每月商务统计增加额度，财务统计扣减费用支出。</w:t>
      </w:r>
    </w:p>
    <w:p w14:paraId="236F1201" w14:textId="77777777" w:rsidR="001A548D" w:rsidRDefault="001A548D">
      <w:pPr>
        <w:numPr>
          <w:ilvl w:val="255"/>
          <w:numId w:val="0"/>
        </w:numPr>
        <w:spacing w:line="360" w:lineRule="auto"/>
        <w:rPr>
          <w:rFonts w:asciiTheme="minorEastAsia" w:eastAsiaTheme="minorEastAsia" w:hAnsiTheme="minorEastAsia" w:cs="宋体" w:hint="eastAsia"/>
          <w:color w:val="000000" w:themeColor="text1"/>
          <w:kern w:val="0"/>
          <w:szCs w:val="21"/>
        </w:rPr>
      </w:pPr>
    </w:p>
    <w:p w14:paraId="17B53EF8" w14:textId="77777777" w:rsidR="001A548D" w:rsidRDefault="001A548D">
      <w:pPr>
        <w:numPr>
          <w:ilvl w:val="255"/>
          <w:numId w:val="0"/>
        </w:numPr>
        <w:spacing w:line="360" w:lineRule="auto"/>
        <w:rPr>
          <w:rFonts w:asciiTheme="minorEastAsia" w:eastAsiaTheme="minorEastAsia" w:hAnsiTheme="minorEastAsia" w:cs="宋体" w:hint="eastAsia"/>
          <w:color w:val="000000" w:themeColor="text1"/>
          <w:kern w:val="0"/>
          <w:szCs w:val="21"/>
        </w:rPr>
      </w:pPr>
    </w:p>
    <w:p w14:paraId="1F057199" w14:textId="77777777" w:rsidR="001A548D" w:rsidRPr="001A548D" w:rsidRDefault="001A548D" w:rsidP="00050978">
      <w:pPr>
        <w:pStyle w:val="2"/>
      </w:pPr>
      <w:r w:rsidRPr="001A548D">
        <w:t>政策说明</w:t>
      </w:r>
    </w:p>
    <w:p w14:paraId="2EE3B51A" w14:textId="77777777" w:rsidR="001A548D" w:rsidRPr="001A548D" w:rsidRDefault="001A548D" w:rsidP="001A548D">
      <w:pPr>
        <w:numPr>
          <w:ilvl w:val="0"/>
          <w:numId w:val="7"/>
        </w:numPr>
        <w:spacing w:line="360" w:lineRule="auto"/>
        <w:rPr>
          <w:rFonts w:asciiTheme="minorEastAsia" w:eastAsiaTheme="minorEastAsia" w:hAnsiTheme="minorEastAsia" w:hint="eastAsia"/>
          <w:color w:val="000000" w:themeColor="text1"/>
          <w:szCs w:val="21"/>
        </w:rPr>
      </w:pPr>
      <w:r w:rsidRPr="001A548D">
        <w:rPr>
          <w:rFonts w:asciiTheme="minorEastAsia" w:eastAsiaTheme="minorEastAsia" w:hAnsiTheme="minorEastAsia" w:hint="eastAsia"/>
          <w:color w:val="000000" w:themeColor="text1"/>
          <w:szCs w:val="21"/>
        </w:rPr>
        <w:t>项目类型划分 条件说明 &gt;&gt; A. 合同金额 ＜ 100万 B. 渠道分类不等于国网省招、南网省招 C. 投标:是 D.渠道分类不等于国网集招、南网集招</w:t>
      </w:r>
    </w:p>
    <w:p w14:paraId="70A77AF6" w14:textId="77777777" w:rsidR="001A548D" w:rsidRPr="001A548D" w:rsidRDefault="001A548D" w:rsidP="001A548D">
      <w:pPr>
        <w:numPr>
          <w:ilvl w:val="1"/>
          <w:numId w:val="7"/>
        </w:numPr>
        <w:spacing w:line="360" w:lineRule="auto"/>
        <w:rPr>
          <w:rFonts w:asciiTheme="minorEastAsia" w:eastAsiaTheme="minorEastAsia" w:hAnsiTheme="minorEastAsia" w:hint="eastAsia"/>
          <w:color w:val="000000" w:themeColor="text1"/>
          <w:szCs w:val="21"/>
        </w:rPr>
      </w:pPr>
      <w:r w:rsidRPr="001A548D">
        <w:rPr>
          <w:rFonts w:asciiTheme="minorEastAsia" w:eastAsiaTheme="minorEastAsia" w:hAnsiTheme="minorEastAsia" w:hint="eastAsia"/>
          <w:color w:val="000000" w:themeColor="text1"/>
          <w:szCs w:val="21"/>
        </w:rPr>
        <w:lastRenderedPageBreak/>
        <w:t>I类：!D 即：</w:t>
      </w:r>
      <w:r w:rsidRPr="001A548D">
        <w:rPr>
          <w:rFonts w:asciiTheme="minorEastAsia" w:eastAsiaTheme="minorEastAsia" w:hAnsiTheme="minorEastAsia" w:hint="eastAsia"/>
          <w:b/>
          <w:bCs/>
          <w:color w:val="000000" w:themeColor="text1"/>
          <w:szCs w:val="21"/>
        </w:rPr>
        <w:t>渠道分类等于国网集招、南网集招</w:t>
      </w:r>
    </w:p>
    <w:p w14:paraId="64252B5F" w14:textId="77777777" w:rsidR="001A548D" w:rsidRPr="001A548D" w:rsidRDefault="001A548D" w:rsidP="001A548D">
      <w:pPr>
        <w:numPr>
          <w:ilvl w:val="1"/>
          <w:numId w:val="7"/>
        </w:numPr>
        <w:spacing w:line="360" w:lineRule="auto"/>
        <w:rPr>
          <w:rFonts w:asciiTheme="minorEastAsia" w:eastAsiaTheme="minorEastAsia" w:hAnsiTheme="minorEastAsia" w:hint="eastAsia"/>
          <w:color w:val="000000" w:themeColor="text1"/>
          <w:szCs w:val="21"/>
        </w:rPr>
      </w:pPr>
      <w:r w:rsidRPr="001A548D">
        <w:rPr>
          <w:rFonts w:asciiTheme="minorEastAsia" w:eastAsiaTheme="minorEastAsia" w:hAnsiTheme="minorEastAsia" w:hint="eastAsia"/>
          <w:color w:val="000000" w:themeColor="text1"/>
          <w:szCs w:val="21"/>
        </w:rPr>
        <w:t>II类：A </w:t>
      </w:r>
      <w:r w:rsidRPr="001A548D">
        <w:rPr>
          <w:rFonts w:asciiTheme="minorEastAsia" w:eastAsiaTheme="minorEastAsia" w:hAnsiTheme="minorEastAsia" w:hint="eastAsia"/>
          <w:b/>
          <w:bCs/>
          <w:color w:val="000000" w:themeColor="text1"/>
          <w:szCs w:val="21"/>
        </w:rPr>
        <w:t>&amp;&amp;</w:t>
      </w:r>
      <w:r w:rsidRPr="001A548D">
        <w:rPr>
          <w:rFonts w:asciiTheme="minorEastAsia" w:eastAsiaTheme="minorEastAsia" w:hAnsiTheme="minorEastAsia" w:hint="eastAsia"/>
          <w:color w:val="000000" w:themeColor="text1"/>
          <w:szCs w:val="21"/>
        </w:rPr>
        <w:t> B </w:t>
      </w:r>
      <w:r w:rsidRPr="001A548D">
        <w:rPr>
          <w:rFonts w:asciiTheme="minorEastAsia" w:eastAsiaTheme="minorEastAsia" w:hAnsiTheme="minorEastAsia" w:hint="eastAsia"/>
          <w:b/>
          <w:bCs/>
          <w:color w:val="000000" w:themeColor="text1"/>
          <w:szCs w:val="21"/>
        </w:rPr>
        <w:t>&amp;&amp;</w:t>
      </w:r>
      <w:r w:rsidRPr="001A548D">
        <w:rPr>
          <w:rFonts w:asciiTheme="minorEastAsia" w:eastAsiaTheme="minorEastAsia" w:hAnsiTheme="minorEastAsia" w:hint="eastAsia"/>
          <w:color w:val="000000" w:themeColor="text1"/>
          <w:szCs w:val="21"/>
        </w:rPr>
        <w:t> D </w:t>
      </w:r>
      <w:r w:rsidRPr="001A548D">
        <w:rPr>
          <w:rFonts w:asciiTheme="minorEastAsia" w:eastAsiaTheme="minorEastAsia" w:hAnsiTheme="minorEastAsia" w:hint="eastAsia"/>
          <w:b/>
          <w:bCs/>
          <w:color w:val="000000" w:themeColor="text1"/>
          <w:szCs w:val="21"/>
        </w:rPr>
        <w:t>&amp;&amp;</w:t>
      </w:r>
      <w:r w:rsidRPr="001A548D">
        <w:rPr>
          <w:rFonts w:asciiTheme="minorEastAsia" w:eastAsiaTheme="minorEastAsia" w:hAnsiTheme="minorEastAsia" w:hint="eastAsia"/>
          <w:color w:val="000000" w:themeColor="text1"/>
          <w:szCs w:val="21"/>
        </w:rPr>
        <w:t> !C 即：</w:t>
      </w:r>
      <w:r w:rsidRPr="001A548D">
        <w:rPr>
          <w:rFonts w:asciiTheme="minorEastAsia" w:eastAsiaTheme="minorEastAsia" w:hAnsiTheme="minorEastAsia" w:hint="eastAsia"/>
          <w:b/>
          <w:bCs/>
          <w:color w:val="000000" w:themeColor="text1"/>
          <w:szCs w:val="21"/>
        </w:rPr>
        <w:t>合同金额 ＜ 100万 </w:t>
      </w:r>
      <w:r w:rsidRPr="001A548D">
        <w:rPr>
          <w:rFonts w:asciiTheme="minorEastAsia" w:eastAsiaTheme="minorEastAsia" w:hAnsiTheme="minorEastAsia" w:hint="eastAsia"/>
          <w:b/>
          <w:bCs/>
          <w:i/>
          <w:iCs/>
          <w:color w:val="000000" w:themeColor="text1"/>
          <w:szCs w:val="21"/>
        </w:rPr>
        <w:t>&amp;&amp;</w:t>
      </w:r>
      <w:r w:rsidRPr="001A548D">
        <w:rPr>
          <w:rFonts w:asciiTheme="minorEastAsia" w:eastAsiaTheme="minorEastAsia" w:hAnsiTheme="minorEastAsia" w:hint="eastAsia"/>
          <w:b/>
          <w:bCs/>
          <w:color w:val="000000" w:themeColor="text1"/>
          <w:szCs w:val="21"/>
        </w:rPr>
        <w:t> 渠道分类不等于国网集招、国网省招、南网集招、南网省招 </w:t>
      </w:r>
      <w:r w:rsidRPr="001A548D">
        <w:rPr>
          <w:rFonts w:asciiTheme="minorEastAsia" w:eastAsiaTheme="minorEastAsia" w:hAnsiTheme="minorEastAsia" w:hint="eastAsia"/>
          <w:b/>
          <w:bCs/>
          <w:i/>
          <w:iCs/>
          <w:color w:val="000000" w:themeColor="text1"/>
          <w:szCs w:val="21"/>
        </w:rPr>
        <w:t>&amp;&amp;</w:t>
      </w:r>
      <w:r w:rsidRPr="001A548D">
        <w:rPr>
          <w:rFonts w:asciiTheme="minorEastAsia" w:eastAsiaTheme="minorEastAsia" w:hAnsiTheme="minorEastAsia" w:hint="eastAsia"/>
          <w:b/>
          <w:bCs/>
          <w:color w:val="000000" w:themeColor="text1"/>
          <w:szCs w:val="21"/>
        </w:rPr>
        <w:t> 是否投标为</w:t>
      </w:r>
      <w:r w:rsidRPr="001A548D">
        <w:rPr>
          <w:rFonts w:asciiTheme="minorEastAsia" w:eastAsiaTheme="minorEastAsia" w:hAnsiTheme="minorEastAsia" w:hint="eastAsia"/>
          <w:b/>
          <w:bCs/>
          <w:i/>
          <w:iCs/>
          <w:color w:val="000000" w:themeColor="text1"/>
          <w:szCs w:val="21"/>
        </w:rPr>
        <w:t>否</w:t>
      </w:r>
    </w:p>
    <w:p w14:paraId="00FDCD08" w14:textId="77777777" w:rsidR="001A548D" w:rsidRPr="001A548D" w:rsidRDefault="001A548D" w:rsidP="001A548D">
      <w:pPr>
        <w:numPr>
          <w:ilvl w:val="1"/>
          <w:numId w:val="7"/>
        </w:numPr>
        <w:spacing w:line="360" w:lineRule="auto"/>
        <w:rPr>
          <w:rFonts w:asciiTheme="minorEastAsia" w:eastAsiaTheme="minorEastAsia" w:hAnsiTheme="minorEastAsia" w:hint="eastAsia"/>
          <w:color w:val="000000" w:themeColor="text1"/>
          <w:szCs w:val="21"/>
        </w:rPr>
      </w:pPr>
      <w:r w:rsidRPr="001A548D">
        <w:rPr>
          <w:rFonts w:asciiTheme="minorEastAsia" w:eastAsiaTheme="minorEastAsia" w:hAnsiTheme="minorEastAsia" w:hint="eastAsia"/>
          <w:color w:val="000000" w:themeColor="text1"/>
          <w:szCs w:val="21"/>
        </w:rPr>
        <w:t>III类：!A </w:t>
      </w:r>
      <w:r w:rsidRPr="001A548D">
        <w:rPr>
          <w:rFonts w:asciiTheme="minorEastAsia" w:eastAsiaTheme="minorEastAsia" w:hAnsiTheme="minorEastAsia" w:hint="eastAsia"/>
          <w:b/>
          <w:bCs/>
          <w:color w:val="000000" w:themeColor="text1"/>
          <w:szCs w:val="21"/>
        </w:rPr>
        <w:t>&amp;&amp;</w:t>
      </w:r>
      <w:r w:rsidRPr="001A548D">
        <w:rPr>
          <w:rFonts w:asciiTheme="minorEastAsia" w:eastAsiaTheme="minorEastAsia" w:hAnsiTheme="minorEastAsia" w:hint="eastAsia"/>
          <w:color w:val="000000" w:themeColor="text1"/>
          <w:szCs w:val="21"/>
        </w:rPr>
        <w:t> B </w:t>
      </w:r>
      <w:r w:rsidRPr="001A548D">
        <w:rPr>
          <w:rFonts w:asciiTheme="minorEastAsia" w:eastAsiaTheme="minorEastAsia" w:hAnsiTheme="minorEastAsia" w:hint="eastAsia"/>
          <w:b/>
          <w:bCs/>
          <w:color w:val="000000" w:themeColor="text1"/>
          <w:szCs w:val="21"/>
        </w:rPr>
        <w:t>&amp;&amp;</w:t>
      </w:r>
      <w:r w:rsidRPr="001A548D">
        <w:rPr>
          <w:rFonts w:asciiTheme="minorEastAsia" w:eastAsiaTheme="minorEastAsia" w:hAnsiTheme="minorEastAsia" w:hint="eastAsia"/>
          <w:color w:val="000000" w:themeColor="text1"/>
          <w:szCs w:val="21"/>
        </w:rPr>
        <w:t> D </w:t>
      </w:r>
      <w:r w:rsidRPr="001A548D">
        <w:rPr>
          <w:rFonts w:asciiTheme="minorEastAsia" w:eastAsiaTheme="minorEastAsia" w:hAnsiTheme="minorEastAsia" w:hint="eastAsia"/>
          <w:b/>
          <w:bCs/>
          <w:color w:val="000000" w:themeColor="text1"/>
          <w:szCs w:val="21"/>
        </w:rPr>
        <w:t>&amp;&amp;</w:t>
      </w:r>
      <w:r w:rsidRPr="001A548D">
        <w:rPr>
          <w:rFonts w:asciiTheme="minorEastAsia" w:eastAsiaTheme="minorEastAsia" w:hAnsiTheme="minorEastAsia" w:hint="eastAsia"/>
          <w:color w:val="000000" w:themeColor="text1"/>
          <w:szCs w:val="21"/>
        </w:rPr>
        <w:t> !C </w:t>
      </w:r>
      <w:r w:rsidRPr="001A548D">
        <w:rPr>
          <w:rFonts w:asciiTheme="minorEastAsia" w:eastAsiaTheme="minorEastAsia" w:hAnsiTheme="minorEastAsia" w:hint="eastAsia"/>
          <w:b/>
          <w:bCs/>
          <w:color w:val="000000" w:themeColor="text1"/>
          <w:szCs w:val="21"/>
        </w:rPr>
        <w:t>即：合同金额 ＞ 100万 </w:t>
      </w:r>
      <w:r w:rsidRPr="001A548D">
        <w:rPr>
          <w:rFonts w:asciiTheme="minorEastAsia" w:eastAsiaTheme="minorEastAsia" w:hAnsiTheme="minorEastAsia" w:hint="eastAsia"/>
          <w:b/>
          <w:bCs/>
          <w:i/>
          <w:iCs/>
          <w:color w:val="000000" w:themeColor="text1"/>
          <w:szCs w:val="21"/>
        </w:rPr>
        <w:t>&amp;&amp;</w:t>
      </w:r>
      <w:r w:rsidRPr="001A548D">
        <w:rPr>
          <w:rFonts w:asciiTheme="minorEastAsia" w:eastAsiaTheme="minorEastAsia" w:hAnsiTheme="minorEastAsia" w:hint="eastAsia"/>
          <w:b/>
          <w:bCs/>
          <w:color w:val="000000" w:themeColor="text1"/>
          <w:szCs w:val="21"/>
        </w:rPr>
        <w:t> 渠道分类不等于国网集招、国网省招、南网集招、南网省招 </w:t>
      </w:r>
      <w:r w:rsidRPr="001A548D">
        <w:rPr>
          <w:rFonts w:asciiTheme="minorEastAsia" w:eastAsiaTheme="minorEastAsia" w:hAnsiTheme="minorEastAsia" w:hint="eastAsia"/>
          <w:b/>
          <w:bCs/>
          <w:i/>
          <w:iCs/>
          <w:color w:val="000000" w:themeColor="text1"/>
          <w:szCs w:val="21"/>
        </w:rPr>
        <w:t>&amp;&amp;</w:t>
      </w:r>
      <w:r w:rsidRPr="001A548D">
        <w:rPr>
          <w:rFonts w:asciiTheme="minorEastAsia" w:eastAsiaTheme="minorEastAsia" w:hAnsiTheme="minorEastAsia" w:hint="eastAsia"/>
          <w:b/>
          <w:bCs/>
          <w:color w:val="000000" w:themeColor="text1"/>
          <w:szCs w:val="21"/>
        </w:rPr>
        <w:t> 是否投标为</w:t>
      </w:r>
      <w:r w:rsidRPr="001A548D">
        <w:rPr>
          <w:rFonts w:asciiTheme="minorEastAsia" w:eastAsiaTheme="minorEastAsia" w:hAnsiTheme="minorEastAsia" w:hint="eastAsia"/>
          <w:b/>
          <w:bCs/>
          <w:i/>
          <w:iCs/>
          <w:color w:val="000000" w:themeColor="text1"/>
          <w:szCs w:val="21"/>
        </w:rPr>
        <w:t>否</w:t>
      </w:r>
    </w:p>
    <w:p w14:paraId="23AF6681" w14:textId="77777777" w:rsidR="001A548D" w:rsidRPr="001A548D" w:rsidRDefault="001A548D" w:rsidP="001A548D">
      <w:pPr>
        <w:numPr>
          <w:ilvl w:val="1"/>
          <w:numId w:val="7"/>
        </w:numPr>
        <w:spacing w:line="360" w:lineRule="auto"/>
        <w:rPr>
          <w:rFonts w:asciiTheme="minorEastAsia" w:eastAsiaTheme="minorEastAsia" w:hAnsiTheme="minorEastAsia" w:hint="eastAsia"/>
          <w:color w:val="000000" w:themeColor="text1"/>
          <w:szCs w:val="21"/>
        </w:rPr>
      </w:pPr>
      <w:r w:rsidRPr="001A548D">
        <w:rPr>
          <w:rFonts w:asciiTheme="minorEastAsia" w:eastAsiaTheme="minorEastAsia" w:hAnsiTheme="minorEastAsia" w:hint="eastAsia"/>
          <w:color w:val="000000" w:themeColor="text1"/>
          <w:szCs w:val="21"/>
        </w:rPr>
        <w:t>V类：!B </w:t>
      </w:r>
      <w:r w:rsidRPr="001A548D">
        <w:rPr>
          <w:rFonts w:asciiTheme="minorEastAsia" w:eastAsiaTheme="minorEastAsia" w:hAnsiTheme="minorEastAsia" w:hint="eastAsia"/>
          <w:b/>
          <w:bCs/>
          <w:color w:val="000000" w:themeColor="text1"/>
          <w:szCs w:val="21"/>
        </w:rPr>
        <w:t>&amp;&amp;</w:t>
      </w:r>
      <w:r w:rsidRPr="001A548D">
        <w:rPr>
          <w:rFonts w:asciiTheme="minorEastAsia" w:eastAsiaTheme="minorEastAsia" w:hAnsiTheme="minorEastAsia" w:hint="eastAsia"/>
          <w:color w:val="000000" w:themeColor="text1"/>
          <w:szCs w:val="21"/>
        </w:rPr>
        <w:t> C 即：</w:t>
      </w:r>
      <w:r w:rsidRPr="001A548D">
        <w:rPr>
          <w:rFonts w:asciiTheme="minorEastAsia" w:eastAsiaTheme="minorEastAsia" w:hAnsiTheme="minorEastAsia" w:hint="eastAsia"/>
          <w:b/>
          <w:bCs/>
          <w:color w:val="000000" w:themeColor="text1"/>
          <w:szCs w:val="21"/>
        </w:rPr>
        <w:t>渠道分类等于国网省招、南网省招 </w:t>
      </w:r>
      <w:r w:rsidRPr="001A548D">
        <w:rPr>
          <w:rFonts w:asciiTheme="minorEastAsia" w:eastAsiaTheme="minorEastAsia" w:hAnsiTheme="minorEastAsia" w:hint="eastAsia"/>
          <w:b/>
          <w:bCs/>
          <w:i/>
          <w:iCs/>
          <w:color w:val="000000" w:themeColor="text1"/>
          <w:szCs w:val="21"/>
        </w:rPr>
        <w:t>&amp;&amp;</w:t>
      </w:r>
      <w:r w:rsidRPr="001A548D">
        <w:rPr>
          <w:rFonts w:asciiTheme="minorEastAsia" w:eastAsiaTheme="minorEastAsia" w:hAnsiTheme="minorEastAsia" w:hint="eastAsia"/>
          <w:b/>
          <w:bCs/>
          <w:color w:val="000000" w:themeColor="text1"/>
          <w:szCs w:val="21"/>
        </w:rPr>
        <w:t> 是否投标为</w:t>
      </w:r>
      <w:r w:rsidRPr="001A548D">
        <w:rPr>
          <w:rFonts w:asciiTheme="minorEastAsia" w:eastAsiaTheme="minorEastAsia" w:hAnsiTheme="minorEastAsia" w:hint="eastAsia"/>
          <w:b/>
          <w:bCs/>
          <w:i/>
          <w:iCs/>
          <w:color w:val="000000" w:themeColor="text1"/>
          <w:szCs w:val="21"/>
        </w:rPr>
        <w:t>是</w:t>
      </w:r>
    </w:p>
    <w:p w14:paraId="1AFC17FE" w14:textId="77777777" w:rsidR="001A548D" w:rsidRPr="001A548D" w:rsidRDefault="001A548D" w:rsidP="001A548D">
      <w:pPr>
        <w:numPr>
          <w:ilvl w:val="1"/>
          <w:numId w:val="7"/>
        </w:numPr>
        <w:spacing w:line="360" w:lineRule="auto"/>
        <w:rPr>
          <w:rFonts w:asciiTheme="minorEastAsia" w:eastAsiaTheme="minorEastAsia" w:hAnsiTheme="minorEastAsia" w:hint="eastAsia"/>
          <w:color w:val="EE0000"/>
          <w:szCs w:val="21"/>
        </w:rPr>
      </w:pPr>
      <w:r w:rsidRPr="001A548D">
        <w:rPr>
          <w:rFonts w:asciiTheme="minorEastAsia" w:eastAsiaTheme="minorEastAsia" w:hAnsiTheme="minorEastAsia" w:hint="eastAsia"/>
          <w:color w:val="EE0000"/>
          <w:szCs w:val="21"/>
        </w:rPr>
        <w:t>注 ： 政策类型未覆盖以下类别</w:t>
      </w:r>
    </w:p>
    <w:p w14:paraId="543121EF" w14:textId="77777777" w:rsidR="001A548D" w:rsidRPr="001A548D" w:rsidRDefault="001A548D" w:rsidP="001A548D">
      <w:pPr>
        <w:numPr>
          <w:ilvl w:val="2"/>
          <w:numId w:val="7"/>
        </w:numPr>
        <w:spacing w:line="360" w:lineRule="auto"/>
        <w:rPr>
          <w:rFonts w:asciiTheme="minorEastAsia" w:eastAsiaTheme="minorEastAsia" w:hAnsiTheme="minorEastAsia" w:hint="eastAsia"/>
          <w:color w:val="000000" w:themeColor="text1"/>
          <w:szCs w:val="21"/>
        </w:rPr>
      </w:pPr>
      <w:r w:rsidRPr="001A548D">
        <w:rPr>
          <w:rFonts w:asciiTheme="minorEastAsia" w:eastAsiaTheme="minorEastAsia" w:hAnsiTheme="minorEastAsia" w:hint="eastAsia"/>
          <w:b/>
          <w:bCs/>
          <w:color w:val="000000" w:themeColor="text1"/>
          <w:szCs w:val="21"/>
        </w:rPr>
        <w:t>渠道分类等于国网省招、南网省招 </w:t>
      </w:r>
      <w:r w:rsidRPr="001A548D">
        <w:rPr>
          <w:rFonts w:asciiTheme="minorEastAsia" w:eastAsiaTheme="minorEastAsia" w:hAnsiTheme="minorEastAsia" w:hint="eastAsia"/>
          <w:b/>
          <w:bCs/>
          <w:i/>
          <w:iCs/>
          <w:color w:val="000000" w:themeColor="text1"/>
          <w:szCs w:val="21"/>
        </w:rPr>
        <w:t>&amp;&amp;</w:t>
      </w:r>
      <w:r w:rsidRPr="001A548D">
        <w:rPr>
          <w:rFonts w:asciiTheme="minorEastAsia" w:eastAsiaTheme="minorEastAsia" w:hAnsiTheme="minorEastAsia" w:hint="eastAsia"/>
          <w:b/>
          <w:bCs/>
          <w:color w:val="000000" w:themeColor="text1"/>
          <w:szCs w:val="21"/>
        </w:rPr>
        <w:t> 是否投标为</w:t>
      </w:r>
      <w:r w:rsidRPr="001A548D">
        <w:rPr>
          <w:rFonts w:asciiTheme="minorEastAsia" w:eastAsiaTheme="minorEastAsia" w:hAnsiTheme="minorEastAsia" w:hint="eastAsia"/>
          <w:b/>
          <w:bCs/>
          <w:i/>
          <w:iCs/>
          <w:color w:val="000000" w:themeColor="text1"/>
          <w:szCs w:val="21"/>
        </w:rPr>
        <w:t>否</w:t>
      </w:r>
      <w:r w:rsidRPr="001A548D">
        <w:rPr>
          <w:rFonts w:asciiTheme="minorEastAsia" w:eastAsiaTheme="minorEastAsia" w:hAnsiTheme="minorEastAsia" w:hint="eastAsia"/>
          <w:color w:val="000000" w:themeColor="text1"/>
          <w:szCs w:val="21"/>
        </w:rPr>
        <w:t>的项目</w:t>
      </w:r>
    </w:p>
    <w:p w14:paraId="7BEFA7EC" w14:textId="77777777" w:rsidR="001A548D" w:rsidRPr="001A548D" w:rsidRDefault="001A548D" w:rsidP="001A548D">
      <w:pPr>
        <w:numPr>
          <w:ilvl w:val="2"/>
          <w:numId w:val="7"/>
        </w:numPr>
        <w:spacing w:line="360" w:lineRule="auto"/>
        <w:rPr>
          <w:rFonts w:asciiTheme="minorEastAsia" w:eastAsiaTheme="minorEastAsia" w:hAnsiTheme="minorEastAsia" w:hint="eastAsia"/>
          <w:color w:val="000000" w:themeColor="text1"/>
          <w:szCs w:val="21"/>
        </w:rPr>
      </w:pPr>
      <w:r w:rsidRPr="001A548D">
        <w:rPr>
          <w:rFonts w:asciiTheme="minorEastAsia" w:eastAsiaTheme="minorEastAsia" w:hAnsiTheme="minorEastAsia" w:hint="eastAsia"/>
          <w:b/>
          <w:bCs/>
          <w:color w:val="000000" w:themeColor="text1"/>
          <w:szCs w:val="21"/>
        </w:rPr>
        <w:t>渠道分类不等于国网集招、国网省招、南网集招、南网省招 </w:t>
      </w:r>
      <w:r w:rsidRPr="001A548D">
        <w:rPr>
          <w:rFonts w:asciiTheme="minorEastAsia" w:eastAsiaTheme="minorEastAsia" w:hAnsiTheme="minorEastAsia" w:hint="eastAsia"/>
          <w:b/>
          <w:bCs/>
          <w:i/>
          <w:iCs/>
          <w:color w:val="000000" w:themeColor="text1"/>
          <w:szCs w:val="21"/>
        </w:rPr>
        <w:t>&amp;&amp;</w:t>
      </w:r>
      <w:r w:rsidRPr="001A548D">
        <w:rPr>
          <w:rFonts w:asciiTheme="minorEastAsia" w:eastAsiaTheme="minorEastAsia" w:hAnsiTheme="minorEastAsia" w:hint="eastAsia"/>
          <w:b/>
          <w:bCs/>
          <w:color w:val="000000" w:themeColor="text1"/>
          <w:szCs w:val="21"/>
        </w:rPr>
        <w:t> 是否投标为</w:t>
      </w:r>
      <w:r w:rsidRPr="001A548D">
        <w:rPr>
          <w:rFonts w:asciiTheme="minorEastAsia" w:eastAsiaTheme="minorEastAsia" w:hAnsiTheme="minorEastAsia" w:hint="eastAsia"/>
          <w:b/>
          <w:bCs/>
          <w:i/>
          <w:iCs/>
          <w:color w:val="000000" w:themeColor="text1"/>
          <w:szCs w:val="21"/>
        </w:rPr>
        <w:t>是</w:t>
      </w:r>
    </w:p>
    <w:p w14:paraId="340A0604" w14:textId="77777777" w:rsidR="001A548D" w:rsidRPr="001A548D" w:rsidRDefault="001A548D" w:rsidP="001A548D">
      <w:pPr>
        <w:numPr>
          <w:ilvl w:val="0"/>
          <w:numId w:val="7"/>
        </w:numPr>
        <w:spacing w:line="360" w:lineRule="auto"/>
        <w:rPr>
          <w:rFonts w:asciiTheme="minorEastAsia" w:eastAsiaTheme="minorEastAsia" w:hAnsiTheme="minorEastAsia" w:hint="eastAsia"/>
          <w:color w:val="000000" w:themeColor="text1"/>
          <w:szCs w:val="21"/>
        </w:rPr>
      </w:pPr>
      <w:r w:rsidRPr="001A548D">
        <w:rPr>
          <w:rFonts w:asciiTheme="minorEastAsia" w:eastAsiaTheme="minorEastAsia" w:hAnsiTheme="minorEastAsia" w:hint="eastAsia"/>
          <w:color w:val="000000" w:themeColor="text1"/>
          <w:szCs w:val="21"/>
        </w:rPr>
        <w:t>各类项目费用发放情况</w:t>
      </w:r>
    </w:p>
    <w:p w14:paraId="7F9595E6" w14:textId="77777777" w:rsidR="001A548D" w:rsidRPr="001A548D" w:rsidRDefault="001A548D" w:rsidP="001A548D">
      <w:pPr>
        <w:numPr>
          <w:ilvl w:val="1"/>
          <w:numId w:val="7"/>
        </w:numPr>
        <w:spacing w:line="360" w:lineRule="auto"/>
        <w:rPr>
          <w:rFonts w:asciiTheme="minorEastAsia" w:eastAsiaTheme="minorEastAsia" w:hAnsiTheme="minorEastAsia" w:hint="eastAsia"/>
          <w:color w:val="000000" w:themeColor="text1"/>
          <w:szCs w:val="21"/>
        </w:rPr>
      </w:pPr>
      <w:r w:rsidRPr="001A548D">
        <w:rPr>
          <w:rFonts w:asciiTheme="minorEastAsia" w:eastAsiaTheme="minorEastAsia" w:hAnsiTheme="minorEastAsia" w:hint="eastAsia"/>
          <w:color w:val="000000" w:themeColor="text1"/>
          <w:szCs w:val="21"/>
        </w:rPr>
        <w:t>I类：同II类</w:t>
      </w:r>
    </w:p>
    <w:p w14:paraId="28A49F94" w14:textId="77777777" w:rsidR="001A548D" w:rsidRPr="001A548D" w:rsidRDefault="001A548D" w:rsidP="001A548D">
      <w:pPr>
        <w:numPr>
          <w:ilvl w:val="1"/>
          <w:numId w:val="7"/>
        </w:numPr>
        <w:spacing w:line="360" w:lineRule="auto"/>
        <w:rPr>
          <w:rFonts w:asciiTheme="minorEastAsia" w:eastAsiaTheme="minorEastAsia" w:hAnsiTheme="minorEastAsia" w:hint="eastAsia"/>
          <w:color w:val="000000" w:themeColor="text1"/>
          <w:szCs w:val="21"/>
        </w:rPr>
      </w:pPr>
      <w:r w:rsidRPr="001A548D">
        <w:rPr>
          <w:rFonts w:asciiTheme="minorEastAsia" w:eastAsiaTheme="minorEastAsia" w:hAnsiTheme="minorEastAsia" w:hint="eastAsia"/>
          <w:color w:val="000000" w:themeColor="text1"/>
          <w:szCs w:val="21"/>
        </w:rPr>
        <w:t>II类：合同返回后发放</w:t>
      </w:r>
      <w:r w:rsidRPr="001A548D">
        <w:rPr>
          <w:rFonts w:asciiTheme="minorEastAsia" w:eastAsiaTheme="minorEastAsia" w:hAnsiTheme="minorEastAsia" w:hint="eastAsia"/>
          <w:i/>
          <w:iCs/>
          <w:color w:val="000000" w:themeColor="text1"/>
          <w:szCs w:val="21"/>
        </w:rPr>
        <w:t>50%</w:t>
      </w:r>
      <w:r w:rsidRPr="001A548D">
        <w:rPr>
          <w:rFonts w:asciiTheme="minorEastAsia" w:eastAsiaTheme="minorEastAsia" w:hAnsiTheme="minorEastAsia" w:hint="eastAsia"/>
          <w:color w:val="000000" w:themeColor="text1"/>
          <w:szCs w:val="21"/>
        </w:rPr>
        <w:t>，完整发货后发放</w:t>
      </w:r>
      <w:r w:rsidRPr="001A548D">
        <w:rPr>
          <w:rFonts w:asciiTheme="minorEastAsia" w:eastAsiaTheme="minorEastAsia" w:hAnsiTheme="minorEastAsia" w:hint="eastAsia"/>
          <w:i/>
          <w:iCs/>
          <w:color w:val="000000" w:themeColor="text1"/>
          <w:szCs w:val="21"/>
        </w:rPr>
        <w:t>25%</w:t>
      </w:r>
      <w:r w:rsidRPr="001A548D">
        <w:rPr>
          <w:rFonts w:asciiTheme="minorEastAsia" w:eastAsiaTheme="minorEastAsia" w:hAnsiTheme="minorEastAsia" w:hint="eastAsia"/>
          <w:color w:val="000000" w:themeColor="text1"/>
          <w:szCs w:val="21"/>
        </w:rPr>
        <w:t>， 当项目回款大于</w:t>
      </w:r>
      <w:r w:rsidRPr="001A548D">
        <w:rPr>
          <w:rFonts w:asciiTheme="minorEastAsia" w:eastAsiaTheme="minorEastAsia" w:hAnsiTheme="minorEastAsia" w:hint="eastAsia"/>
          <w:i/>
          <w:iCs/>
          <w:color w:val="000000" w:themeColor="text1"/>
          <w:szCs w:val="21"/>
        </w:rPr>
        <w:t>50%</w:t>
      </w:r>
      <w:r w:rsidRPr="001A548D">
        <w:rPr>
          <w:rFonts w:asciiTheme="minorEastAsia" w:eastAsiaTheme="minorEastAsia" w:hAnsiTheme="minorEastAsia" w:hint="eastAsia"/>
          <w:color w:val="000000" w:themeColor="text1"/>
          <w:szCs w:val="21"/>
        </w:rPr>
        <w:t> 启动发放剩余费用，发放金额等于费用总额 </w:t>
      </w:r>
      <w:r w:rsidRPr="001A548D">
        <w:rPr>
          <w:rFonts w:asciiTheme="minorEastAsia" w:eastAsiaTheme="minorEastAsia" w:hAnsiTheme="minorEastAsia" w:hint="eastAsia"/>
          <w:i/>
          <w:iCs/>
          <w:color w:val="000000" w:themeColor="text1"/>
          <w:szCs w:val="21"/>
        </w:rPr>
        <w:t>25%</w:t>
      </w:r>
      <w:r w:rsidRPr="001A548D">
        <w:rPr>
          <w:rFonts w:asciiTheme="minorEastAsia" w:eastAsiaTheme="minorEastAsia" w:hAnsiTheme="minorEastAsia" w:hint="eastAsia"/>
          <w:color w:val="000000" w:themeColor="text1"/>
          <w:szCs w:val="21"/>
        </w:rPr>
        <w:t> </w:t>
      </w:r>
      <w:r w:rsidRPr="001A548D">
        <w:rPr>
          <w:rFonts w:ascii="Segoe UI Emoji" w:eastAsiaTheme="minorEastAsia" w:hAnsi="Segoe UI Emoji" w:cs="Segoe UI Emoji"/>
          <w:color w:val="000000" w:themeColor="text1"/>
          <w:szCs w:val="21"/>
        </w:rPr>
        <w:t>✖️</w:t>
      </w:r>
      <w:r w:rsidRPr="001A548D">
        <w:rPr>
          <w:rFonts w:asciiTheme="minorEastAsia" w:eastAsiaTheme="minorEastAsia" w:hAnsiTheme="minorEastAsia" w:hint="eastAsia"/>
          <w:color w:val="000000" w:themeColor="text1"/>
          <w:szCs w:val="21"/>
        </w:rPr>
        <w:t>（当期回款额/项目总合同额）</w:t>
      </w:r>
    </w:p>
    <w:p w14:paraId="4E8AB087" w14:textId="77777777" w:rsidR="001A548D" w:rsidRPr="001A548D" w:rsidRDefault="001A548D" w:rsidP="001A548D">
      <w:pPr>
        <w:numPr>
          <w:ilvl w:val="1"/>
          <w:numId w:val="7"/>
        </w:numPr>
        <w:spacing w:line="360" w:lineRule="auto"/>
        <w:rPr>
          <w:rFonts w:asciiTheme="minorEastAsia" w:eastAsiaTheme="minorEastAsia" w:hAnsiTheme="minorEastAsia" w:hint="eastAsia"/>
          <w:color w:val="000000" w:themeColor="text1"/>
          <w:szCs w:val="21"/>
        </w:rPr>
      </w:pPr>
      <w:r w:rsidRPr="001A548D">
        <w:rPr>
          <w:rFonts w:asciiTheme="minorEastAsia" w:eastAsiaTheme="minorEastAsia" w:hAnsiTheme="minorEastAsia" w:hint="eastAsia"/>
          <w:color w:val="000000" w:themeColor="text1"/>
          <w:szCs w:val="21"/>
        </w:rPr>
        <w:t>III类：同II类</w:t>
      </w:r>
    </w:p>
    <w:p w14:paraId="39A31AFD" w14:textId="77777777" w:rsidR="001A548D" w:rsidRPr="001A548D" w:rsidRDefault="001A548D" w:rsidP="001A548D">
      <w:pPr>
        <w:numPr>
          <w:ilvl w:val="1"/>
          <w:numId w:val="7"/>
        </w:numPr>
        <w:spacing w:line="360" w:lineRule="auto"/>
        <w:rPr>
          <w:rFonts w:asciiTheme="minorEastAsia" w:eastAsiaTheme="minorEastAsia" w:hAnsiTheme="minorEastAsia" w:hint="eastAsia"/>
          <w:color w:val="000000" w:themeColor="text1"/>
          <w:szCs w:val="21"/>
        </w:rPr>
      </w:pPr>
      <w:r w:rsidRPr="001A548D">
        <w:rPr>
          <w:rFonts w:asciiTheme="minorEastAsia" w:eastAsiaTheme="minorEastAsia" w:hAnsiTheme="minorEastAsia" w:hint="eastAsia"/>
          <w:color w:val="000000" w:themeColor="text1"/>
          <w:szCs w:val="21"/>
        </w:rPr>
        <w:t>V类：合同返回发放 </w:t>
      </w:r>
      <w:r w:rsidRPr="001A548D">
        <w:rPr>
          <w:rFonts w:asciiTheme="minorEastAsia" w:eastAsiaTheme="minorEastAsia" w:hAnsiTheme="minorEastAsia" w:hint="eastAsia"/>
          <w:i/>
          <w:iCs/>
          <w:color w:val="000000" w:themeColor="text1"/>
          <w:szCs w:val="21"/>
        </w:rPr>
        <w:t>75%</w:t>
      </w:r>
      <w:r w:rsidRPr="001A548D">
        <w:rPr>
          <w:rFonts w:asciiTheme="minorEastAsia" w:eastAsiaTheme="minorEastAsia" w:hAnsiTheme="minorEastAsia" w:hint="eastAsia"/>
          <w:color w:val="000000" w:themeColor="text1"/>
          <w:szCs w:val="21"/>
        </w:rPr>
        <w:t>，完整发货发放 </w:t>
      </w:r>
      <w:r w:rsidRPr="001A548D">
        <w:rPr>
          <w:rFonts w:asciiTheme="minorEastAsia" w:eastAsiaTheme="minorEastAsia" w:hAnsiTheme="minorEastAsia" w:hint="eastAsia"/>
          <w:i/>
          <w:iCs/>
          <w:color w:val="000000" w:themeColor="text1"/>
          <w:szCs w:val="21"/>
        </w:rPr>
        <w:t>25%</w:t>
      </w:r>
    </w:p>
    <w:p w14:paraId="414F1D9F" w14:textId="77777777" w:rsidR="001A548D" w:rsidRPr="001A548D" w:rsidRDefault="001A548D" w:rsidP="001A548D">
      <w:pPr>
        <w:numPr>
          <w:ilvl w:val="0"/>
          <w:numId w:val="7"/>
        </w:numPr>
        <w:spacing w:line="360" w:lineRule="auto"/>
        <w:rPr>
          <w:rFonts w:asciiTheme="minorEastAsia" w:eastAsiaTheme="minorEastAsia" w:hAnsiTheme="minorEastAsia" w:hint="eastAsia"/>
          <w:color w:val="000000" w:themeColor="text1"/>
          <w:szCs w:val="21"/>
        </w:rPr>
      </w:pPr>
      <w:r w:rsidRPr="001A548D">
        <w:rPr>
          <w:rFonts w:asciiTheme="minorEastAsia" w:eastAsiaTheme="minorEastAsia" w:hAnsiTheme="minorEastAsia" w:hint="eastAsia"/>
          <w:color w:val="000000" w:themeColor="text1"/>
          <w:szCs w:val="21"/>
        </w:rPr>
        <w:t>具体费用档位</w:t>
      </w:r>
    </w:p>
    <w:p w14:paraId="13304211" w14:textId="77777777" w:rsidR="001A548D" w:rsidRPr="001A548D" w:rsidRDefault="001A548D" w:rsidP="001A548D">
      <w:pPr>
        <w:numPr>
          <w:ilvl w:val="1"/>
          <w:numId w:val="7"/>
        </w:numPr>
        <w:spacing w:line="360" w:lineRule="auto"/>
        <w:rPr>
          <w:rFonts w:asciiTheme="minorEastAsia" w:eastAsiaTheme="minorEastAsia" w:hAnsiTheme="minorEastAsia" w:hint="eastAsia"/>
          <w:color w:val="000000" w:themeColor="text1"/>
          <w:szCs w:val="21"/>
        </w:rPr>
      </w:pPr>
      <w:commentRangeStart w:id="0"/>
      <w:r w:rsidRPr="001A548D">
        <w:rPr>
          <w:rFonts w:asciiTheme="minorEastAsia" w:eastAsiaTheme="minorEastAsia" w:hAnsiTheme="minorEastAsia" w:hint="eastAsia"/>
          <w:color w:val="000000" w:themeColor="text1"/>
          <w:szCs w:val="21"/>
        </w:rPr>
        <w:t>I类项目</w:t>
      </w:r>
    </w:p>
    <w:p w14:paraId="04E19644" w14:textId="3B37749F" w:rsidR="001A548D" w:rsidRDefault="001A548D" w:rsidP="00050978">
      <w:pPr>
        <w:numPr>
          <w:ilvl w:val="2"/>
          <w:numId w:val="7"/>
        </w:numPr>
        <w:spacing w:line="360" w:lineRule="auto"/>
        <w:rPr>
          <w:rFonts w:asciiTheme="minorEastAsia" w:eastAsiaTheme="minorEastAsia" w:hAnsiTheme="minorEastAsia" w:hint="eastAsia"/>
          <w:color w:val="000000" w:themeColor="text1"/>
          <w:szCs w:val="21"/>
        </w:rPr>
      </w:pPr>
      <w:r w:rsidRPr="001A548D">
        <w:rPr>
          <w:rFonts w:asciiTheme="minorEastAsia" w:eastAsiaTheme="minorEastAsia" w:hAnsiTheme="minorEastAsia" w:hint="eastAsia"/>
          <w:color w:val="000000" w:themeColor="text1"/>
          <w:szCs w:val="21"/>
        </w:rPr>
        <w:t>国网集招按合同净额1%，南网集招按合同净额7%。</w:t>
      </w:r>
    </w:p>
    <w:p w14:paraId="21168335" w14:textId="5C9F2807" w:rsidR="00050978" w:rsidRDefault="00050978" w:rsidP="00050978">
      <w:pPr>
        <w:numPr>
          <w:ilvl w:val="1"/>
          <w:numId w:val="7"/>
        </w:numPr>
        <w:spacing w:line="360" w:lineRule="auto"/>
        <w:rPr>
          <w:rFonts w:asciiTheme="minorEastAsia" w:eastAsiaTheme="minorEastAsia" w:hAnsiTheme="minorEastAsia" w:hint="eastAsia"/>
          <w:color w:val="000000" w:themeColor="text1"/>
          <w:szCs w:val="21"/>
        </w:rPr>
      </w:pPr>
      <w:r>
        <w:rPr>
          <w:rFonts w:asciiTheme="minorEastAsia" w:eastAsiaTheme="minorEastAsia" w:hAnsiTheme="minorEastAsia" w:hint="eastAsia"/>
          <w:color w:val="000000" w:themeColor="text1"/>
          <w:szCs w:val="21"/>
        </w:rPr>
        <w:t xml:space="preserve">II类 </w:t>
      </w:r>
    </w:p>
    <w:p w14:paraId="1928EB01" w14:textId="60028B19" w:rsidR="00050978" w:rsidRPr="001A548D" w:rsidRDefault="00050978" w:rsidP="00050978">
      <w:pPr>
        <w:numPr>
          <w:ilvl w:val="1"/>
          <w:numId w:val="7"/>
        </w:numPr>
        <w:spacing w:line="360" w:lineRule="auto"/>
        <w:rPr>
          <w:rFonts w:asciiTheme="minorEastAsia" w:eastAsiaTheme="minorEastAsia" w:hAnsiTheme="minorEastAsia" w:hint="eastAsia"/>
          <w:color w:val="000000" w:themeColor="text1"/>
          <w:szCs w:val="21"/>
        </w:rPr>
      </w:pPr>
      <w:r>
        <w:rPr>
          <w:rFonts w:asciiTheme="minorEastAsia" w:eastAsiaTheme="minorEastAsia" w:hAnsiTheme="minorEastAsia" w:hint="eastAsia"/>
          <w:color w:val="000000" w:themeColor="text1"/>
          <w:szCs w:val="21"/>
        </w:rPr>
        <w:t>III类</w:t>
      </w:r>
    </w:p>
    <w:p w14:paraId="5D4E54EA" w14:textId="77777777" w:rsidR="001A548D" w:rsidRPr="001A548D" w:rsidRDefault="001A548D" w:rsidP="001A548D">
      <w:pPr>
        <w:numPr>
          <w:ilvl w:val="1"/>
          <w:numId w:val="7"/>
        </w:numPr>
        <w:spacing w:line="360" w:lineRule="auto"/>
        <w:rPr>
          <w:rFonts w:asciiTheme="minorEastAsia" w:eastAsiaTheme="minorEastAsia" w:hAnsiTheme="minorEastAsia" w:hint="eastAsia"/>
          <w:color w:val="000000" w:themeColor="text1"/>
          <w:szCs w:val="21"/>
        </w:rPr>
      </w:pPr>
      <w:r w:rsidRPr="001A548D">
        <w:rPr>
          <w:rFonts w:asciiTheme="minorEastAsia" w:eastAsiaTheme="minorEastAsia" w:hAnsiTheme="minorEastAsia" w:hint="eastAsia"/>
          <w:color w:val="000000" w:themeColor="text1"/>
          <w:szCs w:val="21"/>
        </w:rPr>
        <w:t>IV类项目 核算系数 &gt;&gt; 利润率</w:t>
      </w:r>
      <w:commentRangeEnd w:id="0"/>
      <w:r w:rsidR="00050978" w:rsidRPr="001A548D">
        <w:rPr>
          <w:rStyle w:val="a5"/>
          <w:rFonts w:asciiTheme="minorEastAsia" w:eastAsiaTheme="minorEastAsia" w:hAnsiTheme="minorEastAsia" w:hint="eastAsia"/>
          <w:color w:val="000000" w:themeColor="text1"/>
        </w:rPr>
        <w:commentReference w:id="0"/>
      </w:r>
    </w:p>
    <w:p w14:paraId="211C8747" w14:textId="77777777" w:rsidR="001A548D" w:rsidRPr="001A548D" w:rsidRDefault="001A548D" w:rsidP="001A548D">
      <w:pPr>
        <w:numPr>
          <w:ilvl w:val="2"/>
          <w:numId w:val="7"/>
        </w:numPr>
        <w:spacing w:line="360" w:lineRule="auto"/>
        <w:rPr>
          <w:rFonts w:asciiTheme="minorEastAsia" w:eastAsiaTheme="minorEastAsia" w:hAnsiTheme="minorEastAsia" w:hint="eastAsia"/>
          <w:color w:val="000000" w:themeColor="text1"/>
          <w:szCs w:val="21"/>
        </w:rPr>
      </w:pPr>
      <w:r w:rsidRPr="001A548D">
        <w:rPr>
          <w:rFonts w:asciiTheme="minorEastAsia" w:eastAsiaTheme="minorEastAsia" w:hAnsiTheme="minorEastAsia" w:hint="eastAsia"/>
          <w:color w:val="000000" w:themeColor="text1"/>
          <w:szCs w:val="21"/>
        </w:rPr>
        <w:t>1）核算系数＞50%；按合同额20%；</w:t>
      </w:r>
    </w:p>
    <w:p w14:paraId="5E7E6258" w14:textId="77777777" w:rsidR="001A548D" w:rsidRPr="001A548D" w:rsidRDefault="001A548D" w:rsidP="001A548D">
      <w:pPr>
        <w:numPr>
          <w:ilvl w:val="2"/>
          <w:numId w:val="7"/>
        </w:numPr>
        <w:spacing w:line="360" w:lineRule="auto"/>
        <w:rPr>
          <w:rFonts w:asciiTheme="minorEastAsia" w:eastAsiaTheme="minorEastAsia" w:hAnsiTheme="minorEastAsia" w:hint="eastAsia"/>
          <w:color w:val="000000" w:themeColor="text1"/>
          <w:szCs w:val="21"/>
        </w:rPr>
      </w:pPr>
      <w:r w:rsidRPr="001A548D">
        <w:rPr>
          <w:rFonts w:asciiTheme="minorEastAsia" w:eastAsiaTheme="minorEastAsia" w:hAnsiTheme="minorEastAsia" w:hint="eastAsia"/>
          <w:color w:val="000000" w:themeColor="text1"/>
          <w:szCs w:val="21"/>
        </w:rPr>
        <w:t>2）50%＞核算系数≥45%；按合同额18%；</w:t>
      </w:r>
    </w:p>
    <w:p w14:paraId="318FA29C" w14:textId="77777777" w:rsidR="001A548D" w:rsidRPr="001A548D" w:rsidRDefault="001A548D" w:rsidP="001A548D">
      <w:pPr>
        <w:numPr>
          <w:ilvl w:val="2"/>
          <w:numId w:val="7"/>
        </w:numPr>
        <w:spacing w:line="360" w:lineRule="auto"/>
        <w:rPr>
          <w:rFonts w:asciiTheme="minorEastAsia" w:eastAsiaTheme="minorEastAsia" w:hAnsiTheme="minorEastAsia" w:hint="eastAsia"/>
          <w:color w:val="000000" w:themeColor="text1"/>
          <w:szCs w:val="21"/>
        </w:rPr>
      </w:pPr>
      <w:r w:rsidRPr="001A548D">
        <w:rPr>
          <w:rFonts w:asciiTheme="minorEastAsia" w:eastAsiaTheme="minorEastAsia" w:hAnsiTheme="minorEastAsia" w:hint="eastAsia"/>
          <w:color w:val="000000" w:themeColor="text1"/>
          <w:szCs w:val="21"/>
        </w:rPr>
        <w:t>3）45%＞核算系数≥40%；按合同额15%；</w:t>
      </w:r>
    </w:p>
    <w:p w14:paraId="6E5E0FF0" w14:textId="77777777" w:rsidR="001A548D" w:rsidRPr="001A548D" w:rsidRDefault="001A548D" w:rsidP="001A548D">
      <w:pPr>
        <w:numPr>
          <w:ilvl w:val="2"/>
          <w:numId w:val="7"/>
        </w:numPr>
        <w:spacing w:line="360" w:lineRule="auto"/>
        <w:rPr>
          <w:rFonts w:asciiTheme="minorEastAsia" w:eastAsiaTheme="minorEastAsia" w:hAnsiTheme="minorEastAsia" w:hint="eastAsia"/>
          <w:color w:val="000000" w:themeColor="text1"/>
          <w:szCs w:val="21"/>
        </w:rPr>
      </w:pPr>
      <w:r w:rsidRPr="001A548D">
        <w:rPr>
          <w:rFonts w:asciiTheme="minorEastAsia" w:eastAsiaTheme="minorEastAsia" w:hAnsiTheme="minorEastAsia" w:hint="eastAsia"/>
          <w:color w:val="000000" w:themeColor="text1"/>
          <w:szCs w:val="21"/>
        </w:rPr>
        <w:t>4）40%＞核算系数≥30%；按合同额12%；</w:t>
      </w:r>
    </w:p>
    <w:p w14:paraId="29965F27" w14:textId="77777777" w:rsidR="001A548D" w:rsidRDefault="001A548D" w:rsidP="001A548D">
      <w:pPr>
        <w:numPr>
          <w:ilvl w:val="2"/>
          <w:numId w:val="7"/>
        </w:numPr>
        <w:spacing w:line="360" w:lineRule="auto"/>
        <w:rPr>
          <w:rFonts w:asciiTheme="minorEastAsia" w:eastAsiaTheme="minorEastAsia" w:hAnsiTheme="minorEastAsia"/>
          <w:color w:val="000000" w:themeColor="text1"/>
          <w:szCs w:val="21"/>
        </w:rPr>
      </w:pPr>
      <w:r w:rsidRPr="001A548D">
        <w:rPr>
          <w:rFonts w:asciiTheme="minorEastAsia" w:eastAsiaTheme="minorEastAsia" w:hAnsiTheme="minorEastAsia" w:hint="eastAsia"/>
          <w:color w:val="000000" w:themeColor="text1"/>
          <w:szCs w:val="21"/>
        </w:rPr>
        <w:t>5）30%＞核算系数；则无。</w:t>
      </w:r>
    </w:p>
    <w:p w14:paraId="67F01E3A" w14:textId="6180278F" w:rsidR="00C565E6" w:rsidRPr="001A548D" w:rsidRDefault="00C565E6" w:rsidP="00C565E6">
      <w:pPr>
        <w:numPr>
          <w:ilvl w:val="1"/>
          <w:numId w:val="7"/>
        </w:numPr>
        <w:spacing w:line="360" w:lineRule="auto"/>
        <w:rPr>
          <w:rFonts w:asciiTheme="minorEastAsia" w:eastAsiaTheme="minorEastAsia" w:hAnsiTheme="minorEastAsia" w:hint="eastAsia"/>
          <w:color w:val="000000" w:themeColor="text1"/>
          <w:szCs w:val="21"/>
        </w:rPr>
      </w:pPr>
      <w:r>
        <w:rPr>
          <w:rFonts w:asciiTheme="minorEastAsia" w:eastAsiaTheme="minorEastAsia" w:hAnsiTheme="minorEastAsia" w:hint="eastAsia"/>
          <w:color w:val="000000" w:themeColor="text1"/>
          <w:szCs w:val="21"/>
        </w:rPr>
        <w:t xml:space="preserve">新产品费用 &gt;&gt; </w:t>
      </w:r>
      <w:r w:rsidRPr="00C565E6">
        <w:rPr>
          <w:rFonts w:asciiTheme="minorEastAsia" w:eastAsiaTheme="minorEastAsia" w:hAnsiTheme="minorEastAsia" w:hint="eastAsia"/>
          <w:b/>
          <w:bCs/>
          <w:color w:val="000000" w:themeColor="text1"/>
          <w:szCs w:val="21"/>
        </w:rPr>
        <w:t>均按照II类项目新产品政策核算</w:t>
      </w:r>
    </w:p>
    <w:p w14:paraId="08CD237A" w14:textId="77777777" w:rsidR="001A548D" w:rsidRPr="001A548D" w:rsidRDefault="001A548D" w:rsidP="001A548D">
      <w:pPr>
        <w:numPr>
          <w:ilvl w:val="1"/>
          <w:numId w:val="7"/>
        </w:numPr>
        <w:spacing w:line="360" w:lineRule="auto"/>
        <w:rPr>
          <w:rFonts w:asciiTheme="minorEastAsia" w:eastAsiaTheme="minorEastAsia" w:hAnsiTheme="minorEastAsia" w:hint="eastAsia"/>
          <w:color w:val="000000" w:themeColor="text1"/>
          <w:szCs w:val="21"/>
        </w:rPr>
      </w:pPr>
      <w:r w:rsidRPr="001A548D">
        <w:rPr>
          <w:rFonts w:asciiTheme="minorEastAsia" w:eastAsiaTheme="minorEastAsia" w:hAnsiTheme="minorEastAsia" w:hint="eastAsia"/>
          <w:b/>
          <w:bCs/>
          <w:color w:val="000000" w:themeColor="text1"/>
          <w:szCs w:val="21"/>
        </w:rPr>
        <w:lastRenderedPageBreak/>
        <w:t>营销大区公共费</w:t>
      </w:r>
      <w:r w:rsidRPr="001A548D">
        <w:rPr>
          <w:rFonts w:asciiTheme="minorEastAsia" w:eastAsiaTheme="minorEastAsia" w:hAnsiTheme="minorEastAsia" w:hint="eastAsia"/>
          <w:color w:val="000000" w:themeColor="text1"/>
          <w:szCs w:val="21"/>
        </w:rPr>
        <w:t> &gt;&gt; 不含</w:t>
      </w:r>
      <w:r w:rsidRPr="001A548D">
        <w:rPr>
          <w:rFonts w:asciiTheme="minorEastAsia" w:eastAsiaTheme="minorEastAsia" w:hAnsiTheme="minorEastAsia" w:hint="eastAsia"/>
          <w:b/>
          <w:bCs/>
          <w:color w:val="000000" w:themeColor="text1"/>
          <w:szCs w:val="21"/>
        </w:rPr>
        <w:t>国网集招、国网集招</w:t>
      </w:r>
    </w:p>
    <w:p w14:paraId="40D6BDA9" w14:textId="77777777" w:rsidR="001A548D" w:rsidRPr="001A548D" w:rsidRDefault="001A548D" w:rsidP="001A548D">
      <w:pPr>
        <w:numPr>
          <w:ilvl w:val="2"/>
          <w:numId w:val="7"/>
        </w:numPr>
        <w:spacing w:line="360" w:lineRule="auto"/>
        <w:rPr>
          <w:rFonts w:asciiTheme="minorEastAsia" w:eastAsiaTheme="minorEastAsia" w:hAnsiTheme="minorEastAsia" w:hint="eastAsia"/>
          <w:color w:val="000000" w:themeColor="text1"/>
          <w:szCs w:val="21"/>
        </w:rPr>
      </w:pPr>
      <w:r w:rsidRPr="001A548D">
        <w:rPr>
          <w:rFonts w:asciiTheme="minorEastAsia" w:eastAsiaTheme="minorEastAsia" w:hAnsiTheme="minorEastAsia" w:hint="eastAsia"/>
          <w:color w:val="000000" w:themeColor="text1"/>
          <w:szCs w:val="21"/>
        </w:rPr>
        <w:t xml:space="preserve">第一部分：合同金额 </w:t>
      </w:r>
      <w:r w:rsidRPr="001A548D">
        <w:rPr>
          <w:rFonts w:ascii="Segoe UI Emoji" w:eastAsiaTheme="minorEastAsia" w:hAnsi="Segoe UI Emoji" w:cs="Segoe UI Emoji"/>
          <w:color w:val="000000" w:themeColor="text1"/>
          <w:szCs w:val="21"/>
        </w:rPr>
        <w:t>✖️</w:t>
      </w:r>
      <w:r w:rsidRPr="001A548D">
        <w:rPr>
          <w:rFonts w:asciiTheme="minorEastAsia" w:eastAsiaTheme="minorEastAsia" w:hAnsiTheme="minorEastAsia" w:hint="eastAsia"/>
          <w:color w:val="000000" w:themeColor="text1"/>
          <w:szCs w:val="21"/>
        </w:rPr>
        <w:t xml:space="preserve"> 0.3% 计入 </w:t>
      </w:r>
      <w:r w:rsidRPr="001A548D">
        <w:rPr>
          <w:rFonts w:asciiTheme="minorEastAsia" w:eastAsiaTheme="minorEastAsia" w:hAnsiTheme="minorEastAsia" w:hint="eastAsia"/>
          <w:b/>
          <w:bCs/>
          <w:color w:val="000000" w:themeColor="text1"/>
          <w:szCs w:val="21"/>
        </w:rPr>
        <w:t>【2025 省区账户】</w:t>
      </w:r>
    </w:p>
    <w:p w14:paraId="0936DB08" w14:textId="77777777" w:rsidR="001A548D" w:rsidRPr="001A548D" w:rsidRDefault="001A548D" w:rsidP="001A548D">
      <w:pPr>
        <w:numPr>
          <w:ilvl w:val="2"/>
          <w:numId w:val="7"/>
        </w:numPr>
        <w:spacing w:line="360" w:lineRule="auto"/>
        <w:rPr>
          <w:rFonts w:asciiTheme="minorEastAsia" w:eastAsiaTheme="minorEastAsia" w:hAnsiTheme="minorEastAsia" w:hint="eastAsia"/>
          <w:color w:val="EE0000"/>
          <w:szCs w:val="21"/>
        </w:rPr>
      </w:pPr>
      <w:commentRangeStart w:id="1"/>
      <w:r w:rsidRPr="001A548D">
        <w:rPr>
          <w:rFonts w:asciiTheme="minorEastAsia" w:eastAsiaTheme="minorEastAsia" w:hAnsiTheme="minorEastAsia" w:hint="eastAsia"/>
          <w:color w:val="EE0000"/>
          <w:szCs w:val="21"/>
        </w:rPr>
        <w:t>第二部分：?</w:t>
      </w:r>
      <w:commentRangeEnd w:id="1"/>
      <w:r w:rsidR="00050978" w:rsidRPr="001A548D">
        <w:rPr>
          <w:rStyle w:val="a5"/>
          <w:rFonts w:asciiTheme="minorEastAsia" w:eastAsiaTheme="minorEastAsia" w:hAnsiTheme="minorEastAsia" w:hint="eastAsia"/>
          <w:color w:val="EE0000"/>
        </w:rPr>
        <w:commentReference w:id="1"/>
      </w:r>
    </w:p>
    <w:p w14:paraId="187D8532" w14:textId="77777777" w:rsidR="001A548D" w:rsidRPr="001A548D" w:rsidRDefault="001A548D" w:rsidP="001A548D">
      <w:pPr>
        <w:numPr>
          <w:ilvl w:val="1"/>
          <w:numId w:val="7"/>
        </w:numPr>
        <w:spacing w:line="360" w:lineRule="auto"/>
        <w:rPr>
          <w:rFonts w:asciiTheme="minorEastAsia" w:eastAsiaTheme="minorEastAsia" w:hAnsiTheme="minorEastAsia" w:hint="eastAsia"/>
          <w:color w:val="000000" w:themeColor="text1"/>
          <w:szCs w:val="21"/>
        </w:rPr>
      </w:pPr>
      <w:r w:rsidRPr="001A548D">
        <w:rPr>
          <w:rFonts w:asciiTheme="minorEastAsia" w:eastAsiaTheme="minorEastAsia" w:hAnsiTheme="minorEastAsia" w:hint="eastAsia"/>
          <w:b/>
          <w:bCs/>
          <w:color w:val="000000" w:themeColor="text1"/>
          <w:szCs w:val="21"/>
        </w:rPr>
        <w:t>营销中心公共费</w:t>
      </w:r>
      <w:r w:rsidRPr="001A548D">
        <w:rPr>
          <w:rFonts w:asciiTheme="minorEastAsia" w:eastAsiaTheme="minorEastAsia" w:hAnsiTheme="minorEastAsia" w:hint="eastAsia"/>
          <w:color w:val="000000" w:themeColor="text1"/>
          <w:szCs w:val="21"/>
        </w:rPr>
        <w:t> &gt;&gt; 不含</w:t>
      </w:r>
      <w:r w:rsidRPr="001A548D">
        <w:rPr>
          <w:rFonts w:asciiTheme="minorEastAsia" w:eastAsiaTheme="minorEastAsia" w:hAnsiTheme="minorEastAsia" w:hint="eastAsia"/>
          <w:b/>
          <w:bCs/>
          <w:color w:val="000000" w:themeColor="text1"/>
          <w:szCs w:val="21"/>
        </w:rPr>
        <w:t>国网集招、国网集招</w:t>
      </w:r>
    </w:p>
    <w:p w14:paraId="226B86FD" w14:textId="77777777" w:rsidR="001A548D" w:rsidRPr="001A548D" w:rsidRDefault="001A548D" w:rsidP="001A548D">
      <w:pPr>
        <w:numPr>
          <w:ilvl w:val="2"/>
          <w:numId w:val="7"/>
        </w:numPr>
        <w:spacing w:line="360" w:lineRule="auto"/>
        <w:rPr>
          <w:rFonts w:asciiTheme="minorEastAsia" w:eastAsiaTheme="minorEastAsia" w:hAnsiTheme="minorEastAsia" w:hint="eastAsia"/>
          <w:color w:val="000000" w:themeColor="text1"/>
          <w:szCs w:val="21"/>
        </w:rPr>
      </w:pPr>
      <w:r w:rsidRPr="001A548D">
        <w:rPr>
          <w:rFonts w:asciiTheme="minorEastAsia" w:eastAsiaTheme="minorEastAsia" w:hAnsiTheme="minorEastAsia" w:hint="eastAsia"/>
          <w:color w:val="000000" w:themeColor="text1"/>
          <w:szCs w:val="21"/>
        </w:rPr>
        <w:t xml:space="preserve">合同金额 </w:t>
      </w:r>
      <w:r w:rsidRPr="001A548D">
        <w:rPr>
          <w:rFonts w:ascii="Segoe UI Emoji" w:eastAsiaTheme="minorEastAsia" w:hAnsi="Segoe UI Emoji" w:cs="Segoe UI Emoji"/>
          <w:color w:val="000000" w:themeColor="text1"/>
          <w:szCs w:val="21"/>
        </w:rPr>
        <w:t>✖️</w:t>
      </w:r>
      <w:r w:rsidRPr="001A548D">
        <w:rPr>
          <w:rFonts w:asciiTheme="minorEastAsia" w:eastAsiaTheme="minorEastAsia" w:hAnsiTheme="minorEastAsia" w:hint="eastAsia"/>
          <w:color w:val="000000" w:themeColor="text1"/>
          <w:szCs w:val="21"/>
        </w:rPr>
        <w:t xml:space="preserve"> 1.5% 计入 </w:t>
      </w:r>
      <w:r w:rsidRPr="001A548D">
        <w:rPr>
          <w:rFonts w:asciiTheme="minorEastAsia" w:eastAsiaTheme="minorEastAsia" w:hAnsiTheme="minorEastAsia" w:hint="eastAsia"/>
          <w:b/>
          <w:bCs/>
          <w:color w:val="000000" w:themeColor="text1"/>
          <w:szCs w:val="21"/>
        </w:rPr>
        <w:t>【2025 营销中心账户】</w:t>
      </w:r>
    </w:p>
    <w:p w14:paraId="122657C1" w14:textId="77777777" w:rsidR="001A548D" w:rsidRPr="001A548D" w:rsidRDefault="001A548D" w:rsidP="001A548D">
      <w:pPr>
        <w:numPr>
          <w:ilvl w:val="1"/>
          <w:numId w:val="7"/>
        </w:numPr>
        <w:spacing w:line="360" w:lineRule="auto"/>
        <w:rPr>
          <w:rFonts w:asciiTheme="minorEastAsia" w:eastAsiaTheme="minorEastAsia" w:hAnsiTheme="minorEastAsia" w:hint="eastAsia"/>
          <w:color w:val="000000" w:themeColor="text1"/>
          <w:szCs w:val="21"/>
        </w:rPr>
      </w:pPr>
      <w:r w:rsidRPr="001A548D">
        <w:rPr>
          <w:rFonts w:asciiTheme="minorEastAsia" w:eastAsiaTheme="minorEastAsia" w:hAnsiTheme="minorEastAsia" w:hint="eastAsia"/>
          <w:b/>
          <w:bCs/>
          <w:color w:val="000000" w:themeColor="text1"/>
          <w:szCs w:val="21"/>
        </w:rPr>
        <w:t>发货状态复核</w:t>
      </w:r>
      <w:r w:rsidRPr="001A548D">
        <w:rPr>
          <w:rFonts w:asciiTheme="minorEastAsia" w:eastAsiaTheme="minorEastAsia" w:hAnsiTheme="minorEastAsia" w:hint="eastAsia"/>
          <w:color w:val="000000" w:themeColor="text1"/>
          <w:szCs w:val="21"/>
        </w:rPr>
        <w:t> &gt;&gt; </w:t>
      </w:r>
      <w:commentRangeStart w:id="2"/>
      <w:r w:rsidRPr="001A548D">
        <w:rPr>
          <w:rFonts w:asciiTheme="minorEastAsia" w:eastAsiaTheme="minorEastAsia" w:hAnsiTheme="minorEastAsia" w:hint="eastAsia"/>
          <w:color w:val="EE0000"/>
          <w:szCs w:val="21"/>
        </w:rPr>
        <w:t>是指超一年未发货需要扣除已发费用？</w:t>
      </w:r>
      <w:commentRangeEnd w:id="2"/>
      <w:r w:rsidR="00050978" w:rsidRPr="001A548D">
        <w:rPr>
          <w:rStyle w:val="a5"/>
          <w:rFonts w:asciiTheme="minorEastAsia" w:eastAsiaTheme="minorEastAsia" w:hAnsiTheme="minorEastAsia" w:hint="eastAsia"/>
          <w:color w:val="000000" w:themeColor="text1"/>
        </w:rPr>
        <w:commentReference w:id="2"/>
      </w:r>
    </w:p>
    <w:p w14:paraId="13DC3F21" w14:textId="77777777" w:rsidR="001A548D" w:rsidRPr="001A548D" w:rsidRDefault="001A548D">
      <w:pPr>
        <w:numPr>
          <w:ilvl w:val="255"/>
          <w:numId w:val="0"/>
        </w:numPr>
        <w:spacing w:line="360" w:lineRule="auto"/>
        <w:rPr>
          <w:rFonts w:asciiTheme="minorEastAsia" w:eastAsiaTheme="minorEastAsia" w:hAnsiTheme="minorEastAsia" w:hint="eastAsia"/>
          <w:color w:val="000000" w:themeColor="text1"/>
          <w:szCs w:val="21"/>
        </w:rPr>
        <w:sectPr w:rsidR="001A548D" w:rsidRPr="001A548D">
          <w:pgSz w:w="11906" w:h="16838"/>
          <w:pgMar w:top="1440" w:right="1800" w:bottom="1440" w:left="1800" w:header="851" w:footer="992" w:gutter="0"/>
          <w:cols w:space="425"/>
          <w:docGrid w:type="lines" w:linePitch="312"/>
        </w:sectPr>
      </w:pPr>
    </w:p>
    <w:p w14:paraId="7A20612A" w14:textId="77777777" w:rsidR="005A223D" w:rsidRDefault="00000000">
      <w:pPr>
        <w:widowControl/>
        <w:spacing w:line="480" w:lineRule="auto"/>
        <w:jc w:val="left"/>
        <w:outlineLvl w:val="0"/>
        <w:rPr>
          <w:rFonts w:asciiTheme="minorEastAsia" w:eastAsiaTheme="minorEastAsia" w:hAnsiTheme="minorEastAsia" w:cs="宋体" w:hint="eastAsia"/>
          <w:b/>
          <w:color w:val="000000" w:themeColor="text1"/>
          <w:kern w:val="0"/>
          <w:szCs w:val="21"/>
        </w:rPr>
      </w:pPr>
      <w:r>
        <w:rPr>
          <w:rFonts w:asciiTheme="minorEastAsia" w:eastAsiaTheme="minorEastAsia" w:hAnsiTheme="minorEastAsia" w:cs="宋体"/>
          <w:b/>
          <w:color w:val="000000" w:themeColor="text1"/>
          <w:kern w:val="0"/>
          <w:szCs w:val="21"/>
        </w:rPr>
        <w:lastRenderedPageBreak/>
        <w:t>附件</w:t>
      </w:r>
      <w:r>
        <w:rPr>
          <w:rFonts w:asciiTheme="minorEastAsia" w:eastAsiaTheme="minorEastAsia" w:hAnsiTheme="minorEastAsia" w:cs="宋体" w:hint="eastAsia"/>
          <w:b/>
          <w:color w:val="000000" w:themeColor="text1"/>
          <w:kern w:val="0"/>
          <w:szCs w:val="21"/>
        </w:rPr>
        <w:t>1：《公司合同、库存及应收账款管理政策》</w:t>
      </w:r>
    </w:p>
    <w:p w14:paraId="193C37BD" w14:textId="77777777" w:rsidR="005A223D" w:rsidRDefault="00000000">
      <w:pPr>
        <w:tabs>
          <w:tab w:val="left" w:pos="993"/>
        </w:tabs>
        <w:spacing w:line="360" w:lineRule="auto"/>
        <w:ind w:left="482"/>
        <w:outlineLvl w:val="0"/>
        <w:rPr>
          <w:rFonts w:asciiTheme="minorEastAsia" w:eastAsiaTheme="minorEastAsia" w:hAnsiTheme="minorEastAsia" w:cs="宋体" w:hint="eastAsia"/>
          <w:b/>
          <w:color w:val="000000" w:themeColor="text1"/>
          <w:kern w:val="0"/>
          <w:szCs w:val="21"/>
        </w:rPr>
      </w:pPr>
      <w:r>
        <w:rPr>
          <w:rFonts w:asciiTheme="minorEastAsia" w:eastAsiaTheme="minorEastAsia" w:hAnsiTheme="minorEastAsia" w:cs="宋体" w:hint="eastAsia"/>
          <w:b/>
          <w:color w:val="000000" w:themeColor="text1"/>
          <w:kern w:val="0"/>
          <w:szCs w:val="21"/>
        </w:rPr>
        <w:t>1：“发货未返回合同管理政策”</w:t>
      </w:r>
    </w:p>
    <w:p w14:paraId="25863C33" w14:textId="77777777" w:rsidR="005A223D" w:rsidRDefault="00000000">
      <w:pPr>
        <w:widowControl/>
        <w:shd w:val="clear" w:color="auto" w:fill="FFFFFF"/>
        <w:spacing w:line="312" w:lineRule="auto"/>
        <w:ind w:firstLine="422"/>
        <w:jc w:val="left"/>
        <w:rPr>
          <w:rFonts w:asciiTheme="minorEastAsia" w:eastAsiaTheme="minorEastAsia" w:hAnsiTheme="minorEastAsia" w:cs="Segoe UI" w:hint="eastAsia"/>
          <w:color w:val="000000" w:themeColor="text1"/>
          <w:kern w:val="0"/>
          <w:szCs w:val="21"/>
        </w:rPr>
      </w:pPr>
      <w:r>
        <w:rPr>
          <w:rFonts w:asciiTheme="minorEastAsia" w:eastAsiaTheme="minorEastAsia" w:hAnsiTheme="minorEastAsia" w:cs="Segoe UI" w:hint="eastAsia"/>
          <w:bCs/>
          <w:color w:val="000000" w:themeColor="text1"/>
          <w:kern w:val="0"/>
          <w:szCs w:val="21"/>
        </w:rPr>
        <w:t>1）</w:t>
      </w:r>
      <w:r>
        <w:rPr>
          <w:rFonts w:asciiTheme="minorEastAsia" w:eastAsiaTheme="minorEastAsia" w:hAnsiTheme="minorEastAsia" w:cs="Segoe UI"/>
          <w:b/>
          <w:bCs/>
          <w:color w:val="000000" w:themeColor="text1"/>
          <w:kern w:val="0"/>
          <w:szCs w:val="21"/>
        </w:rPr>
        <w:t xml:space="preserve"> </w:t>
      </w:r>
      <w:r>
        <w:rPr>
          <w:rFonts w:asciiTheme="minorEastAsia" w:eastAsiaTheme="minorEastAsia" w:hAnsiTheme="minorEastAsia" w:cs="Segoe UI" w:hint="eastAsia"/>
          <w:color w:val="000000" w:themeColor="text1"/>
          <w:kern w:val="0"/>
          <w:szCs w:val="21"/>
        </w:rPr>
        <w:t>已发货未返回合同超两个月但不超过一年，</w:t>
      </w:r>
      <w:r>
        <w:rPr>
          <w:rFonts w:asciiTheme="minorEastAsia" w:eastAsiaTheme="minorEastAsia" w:hAnsiTheme="minorEastAsia" w:cs="宋体" w:hint="eastAsia"/>
          <w:color w:val="000000" w:themeColor="text1"/>
          <w:kern w:val="0"/>
          <w:szCs w:val="21"/>
        </w:rPr>
        <w:t>或已返回非正式合同（单方合同）超两个月但不超过一年回款未达到90%，</w:t>
      </w:r>
      <w:r>
        <w:rPr>
          <w:rFonts w:asciiTheme="minorEastAsia" w:eastAsiaTheme="minorEastAsia" w:hAnsiTheme="minorEastAsia" w:cs="Segoe UI" w:hint="eastAsia"/>
          <w:color w:val="000000" w:themeColor="text1"/>
          <w:kern w:val="0"/>
          <w:szCs w:val="21"/>
        </w:rPr>
        <w:t>或国网中标超两个月未返回合同但不超过一年，开始处罚，处罚金额为未返回合同总额*2.5‰，处罚金额在每季度的第一个月末，从大区合同奖金中扣除上季度罚金，（即四月、七月、十月、一月，分别扣除第一、二、三、四季度罚金）；黑名单、灰名单客户处罚加倍；</w:t>
      </w:r>
    </w:p>
    <w:p w14:paraId="323C5A69" w14:textId="77777777" w:rsidR="005A223D" w:rsidRDefault="00000000">
      <w:pPr>
        <w:widowControl/>
        <w:shd w:val="clear" w:color="auto" w:fill="FFFFFF"/>
        <w:spacing w:line="312" w:lineRule="auto"/>
        <w:ind w:firstLine="422"/>
        <w:jc w:val="left"/>
        <w:rPr>
          <w:rFonts w:asciiTheme="minorEastAsia" w:eastAsiaTheme="minorEastAsia" w:hAnsiTheme="minorEastAsia" w:cs="Segoe UI" w:hint="eastAsia"/>
          <w:color w:val="000000" w:themeColor="text1"/>
          <w:kern w:val="0"/>
          <w:szCs w:val="21"/>
        </w:rPr>
      </w:pPr>
      <w:r>
        <w:rPr>
          <w:rFonts w:asciiTheme="minorEastAsia" w:eastAsiaTheme="minorEastAsia" w:hAnsiTheme="minorEastAsia" w:cs="Segoe UI" w:hint="eastAsia"/>
          <w:bCs/>
          <w:color w:val="000000" w:themeColor="text1"/>
          <w:kern w:val="0"/>
          <w:szCs w:val="21"/>
        </w:rPr>
        <w:t>2）</w:t>
      </w:r>
      <w:r>
        <w:rPr>
          <w:rFonts w:asciiTheme="minorEastAsia" w:eastAsiaTheme="minorEastAsia" w:hAnsiTheme="minorEastAsia" w:cs="Segoe UI" w:hint="eastAsia"/>
          <w:color w:val="000000" w:themeColor="text1"/>
          <w:kern w:val="0"/>
          <w:szCs w:val="21"/>
        </w:rPr>
        <w:t>已发货未返回合同超一年，或已返回非正式合同（单方合同）超一年回款未达到9</w:t>
      </w:r>
      <w:r>
        <w:rPr>
          <w:rFonts w:asciiTheme="minorEastAsia" w:eastAsiaTheme="minorEastAsia" w:hAnsiTheme="minorEastAsia" w:cs="Segoe UI"/>
          <w:color w:val="000000" w:themeColor="text1"/>
          <w:kern w:val="0"/>
          <w:szCs w:val="21"/>
        </w:rPr>
        <w:t>0%</w:t>
      </w:r>
      <w:r>
        <w:rPr>
          <w:rFonts w:asciiTheme="minorEastAsia" w:eastAsiaTheme="minorEastAsia" w:hAnsiTheme="minorEastAsia" w:cs="Segoe UI" w:hint="eastAsia"/>
          <w:color w:val="000000" w:themeColor="text1"/>
          <w:kern w:val="0"/>
          <w:szCs w:val="21"/>
        </w:rPr>
        <w:t>，处罚金额为未返回合同总额*5‰，处罚金额在每季度的第一个月末，从大区合同奖金中扣除上季度罚金，（即四月、七月、十月、一月，分别扣除第一、二、三、四季度罚金）。黑名单、灰名单客户处罚加倍；</w:t>
      </w:r>
    </w:p>
    <w:p w14:paraId="6DE141E6" w14:textId="77777777" w:rsidR="005A223D" w:rsidRDefault="00000000">
      <w:pPr>
        <w:widowControl/>
        <w:shd w:val="clear" w:color="auto" w:fill="FFFFFF"/>
        <w:spacing w:line="312" w:lineRule="auto"/>
        <w:ind w:firstLine="422"/>
        <w:jc w:val="left"/>
        <w:rPr>
          <w:rFonts w:asciiTheme="minorEastAsia" w:eastAsiaTheme="minorEastAsia" w:hAnsiTheme="minorEastAsia" w:cs="Segoe UI" w:hint="eastAsia"/>
          <w:color w:val="000000" w:themeColor="text1"/>
          <w:kern w:val="0"/>
          <w:szCs w:val="21"/>
        </w:rPr>
      </w:pPr>
      <w:r>
        <w:rPr>
          <w:rFonts w:asciiTheme="minorEastAsia" w:eastAsiaTheme="minorEastAsia" w:hAnsiTheme="minorEastAsia" w:cs="Segoe UI" w:hint="eastAsia"/>
          <w:bCs/>
          <w:color w:val="000000" w:themeColor="text1"/>
          <w:kern w:val="0"/>
          <w:szCs w:val="21"/>
        </w:rPr>
        <w:t>3）</w:t>
      </w:r>
      <w:r>
        <w:rPr>
          <w:rFonts w:asciiTheme="minorEastAsia" w:eastAsiaTheme="minorEastAsia" w:hAnsiTheme="minorEastAsia" w:cs="Segoe UI" w:hint="eastAsia"/>
          <w:color w:val="000000" w:themeColor="text1"/>
          <w:kern w:val="0"/>
          <w:szCs w:val="21"/>
        </w:rPr>
        <w:t>针对特殊未返回合同情况，各大区可报备一次已发货未返回合同的特殊情况（如工程延期、客户方面原因），经公司领导审批后，可推迟计入处罚盘，设定返回期限跟踪处理。以上发货未返回合同中不包括超市化项目及营销主任已审批的特殊工程。</w:t>
      </w:r>
    </w:p>
    <w:p w14:paraId="68E03EF9" w14:textId="77777777" w:rsidR="005A223D" w:rsidRDefault="00000000">
      <w:pPr>
        <w:tabs>
          <w:tab w:val="left" w:pos="993"/>
        </w:tabs>
        <w:spacing w:line="360" w:lineRule="auto"/>
        <w:ind w:left="482"/>
        <w:outlineLvl w:val="0"/>
        <w:rPr>
          <w:rFonts w:asciiTheme="minorEastAsia" w:eastAsiaTheme="minorEastAsia" w:hAnsiTheme="minorEastAsia" w:cs="宋体" w:hint="eastAsia"/>
          <w:b/>
          <w:color w:val="000000" w:themeColor="text1"/>
          <w:kern w:val="0"/>
          <w:szCs w:val="21"/>
        </w:rPr>
      </w:pPr>
      <w:r>
        <w:rPr>
          <w:rFonts w:asciiTheme="minorEastAsia" w:eastAsiaTheme="minorEastAsia" w:hAnsiTheme="minorEastAsia" w:cs="宋体" w:hint="eastAsia"/>
          <w:b/>
          <w:color w:val="000000" w:themeColor="text1"/>
          <w:kern w:val="0"/>
          <w:szCs w:val="21"/>
        </w:rPr>
        <w:t>2：“成品库存管理及奖惩政策”</w:t>
      </w:r>
    </w:p>
    <w:p w14:paraId="736FD44B" w14:textId="77777777" w:rsidR="005A223D" w:rsidRDefault="00000000">
      <w:pPr>
        <w:widowControl/>
        <w:shd w:val="clear" w:color="auto" w:fill="FFFFFF"/>
        <w:spacing w:line="312" w:lineRule="auto"/>
        <w:ind w:firstLine="422"/>
        <w:jc w:val="left"/>
        <w:rPr>
          <w:rFonts w:asciiTheme="minorEastAsia" w:eastAsiaTheme="minorEastAsia" w:hAnsiTheme="minorEastAsia" w:cs="Segoe UI" w:hint="eastAsia"/>
          <w:color w:val="000000" w:themeColor="text1"/>
          <w:kern w:val="0"/>
          <w:szCs w:val="21"/>
        </w:rPr>
      </w:pPr>
      <w:r>
        <w:rPr>
          <w:rFonts w:asciiTheme="minorEastAsia" w:eastAsiaTheme="minorEastAsia" w:hAnsiTheme="minorEastAsia" w:cs="Segoe UI" w:hint="eastAsia"/>
          <w:color w:val="000000" w:themeColor="text1"/>
          <w:kern w:val="0"/>
          <w:szCs w:val="21"/>
        </w:rPr>
        <w:t>成品库存判定依据：</w:t>
      </w:r>
    </w:p>
    <w:p w14:paraId="719D9D91" w14:textId="77777777" w:rsidR="005A223D" w:rsidRDefault="00000000">
      <w:pPr>
        <w:widowControl/>
        <w:shd w:val="clear" w:color="auto" w:fill="FFFFFF"/>
        <w:spacing w:line="312" w:lineRule="auto"/>
        <w:ind w:firstLine="422"/>
        <w:jc w:val="left"/>
        <w:rPr>
          <w:rFonts w:asciiTheme="minorEastAsia" w:eastAsiaTheme="minorEastAsia" w:hAnsiTheme="minorEastAsia" w:cs="Segoe UI" w:hint="eastAsia"/>
          <w:color w:val="000000" w:themeColor="text1"/>
          <w:kern w:val="0"/>
          <w:szCs w:val="21"/>
        </w:rPr>
      </w:pPr>
      <w:r>
        <w:rPr>
          <w:rFonts w:ascii="Calibri" w:eastAsiaTheme="minorEastAsia" w:hAnsi="Calibri" w:cs="Calibri"/>
          <w:color w:val="000000" w:themeColor="text1"/>
          <w:kern w:val="0"/>
          <w:szCs w:val="21"/>
        </w:rPr>
        <w:t>①</w:t>
      </w:r>
      <w:r>
        <w:rPr>
          <w:rFonts w:asciiTheme="minorEastAsia" w:eastAsiaTheme="minorEastAsia" w:hAnsiTheme="minorEastAsia" w:cs="Segoe UI"/>
          <w:color w:val="000000" w:themeColor="text1"/>
          <w:kern w:val="0"/>
          <w:szCs w:val="21"/>
        </w:rPr>
        <w:t>成品库存定义</w:t>
      </w:r>
      <w:r>
        <w:rPr>
          <w:rFonts w:asciiTheme="minorEastAsia" w:eastAsiaTheme="minorEastAsia" w:hAnsiTheme="minorEastAsia" w:cs="Segoe UI" w:hint="eastAsia"/>
          <w:color w:val="000000" w:themeColor="text1"/>
          <w:kern w:val="0"/>
          <w:szCs w:val="21"/>
        </w:rPr>
        <w:t>：</w:t>
      </w:r>
      <w:r>
        <w:rPr>
          <w:rFonts w:asciiTheme="minorEastAsia" w:eastAsiaTheme="minorEastAsia" w:hAnsiTheme="minorEastAsia" w:cs="Segoe UI"/>
          <w:color w:val="000000" w:themeColor="text1"/>
          <w:kern w:val="0"/>
          <w:szCs w:val="21"/>
        </w:rPr>
        <w:t>自产设备具备完工条件，不包含联调或缺料导致的库存；</w:t>
      </w:r>
    </w:p>
    <w:p w14:paraId="0BD2208A" w14:textId="77777777" w:rsidR="005A223D" w:rsidRDefault="00000000">
      <w:pPr>
        <w:widowControl/>
        <w:shd w:val="clear" w:color="auto" w:fill="FFFFFF"/>
        <w:spacing w:line="312" w:lineRule="auto"/>
        <w:ind w:firstLine="422"/>
        <w:jc w:val="left"/>
        <w:rPr>
          <w:rFonts w:asciiTheme="minorEastAsia" w:eastAsiaTheme="minorEastAsia" w:hAnsiTheme="minorEastAsia" w:cs="Segoe UI" w:hint="eastAsia"/>
          <w:color w:val="000000" w:themeColor="text1"/>
          <w:kern w:val="0"/>
          <w:szCs w:val="21"/>
        </w:rPr>
      </w:pPr>
      <w:r>
        <w:rPr>
          <w:rFonts w:ascii="Calibri" w:eastAsiaTheme="minorEastAsia" w:hAnsi="Calibri" w:cs="Calibri"/>
          <w:color w:val="000000" w:themeColor="text1"/>
          <w:kern w:val="0"/>
          <w:szCs w:val="21"/>
        </w:rPr>
        <w:t>②</w:t>
      </w:r>
      <w:r>
        <w:rPr>
          <w:rFonts w:asciiTheme="minorEastAsia" w:eastAsiaTheme="minorEastAsia" w:hAnsiTheme="minorEastAsia" w:cs="Segoe UI"/>
          <w:color w:val="000000" w:themeColor="text1"/>
          <w:kern w:val="0"/>
          <w:szCs w:val="21"/>
        </w:rPr>
        <w:t>库存处罚</w:t>
      </w:r>
      <w:r>
        <w:rPr>
          <w:rFonts w:asciiTheme="minorEastAsia" w:eastAsiaTheme="minorEastAsia" w:hAnsiTheme="minorEastAsia" w:cs="Segoe UI" w:hint="eastAsia"/>
          <w:color w:val="000000" w:themeColor="text1"/>
          <w:kern w:val="0"/>
          <w:szCs w:val="21"/>
        </w:rPr>
        <w:t>-对销售</w:t>
      </w:r>
      <w:r>
        <w:rPr>
          <w:rFonts w:asciiTheme="minorEastAsia" w:eastAsiaTheme="minorEastAsia" w:hAnsiTheme="minorEastAsia" w:cs="Segoe UI"/>
          <w:color w:val="000000" w:themeColor="text1"/>
          <w:kern w:val="0"/>
          <w:szCs w:val="21"/>
        </w:rPr>
        <w:t xml:space="preserve"> ：商务</w:t>
      </w:r>
      <w:r>
        <w:rPr>
          <w:rFonts w:asciiTheme="minorEastAsia" w:eastAsiaTheme="minorEastAsia" w:hAnsiTheme="minorEastAsia" w:cs="Segoe UI" w:hint="eastAsia"/>
          <w:color w:val="000000" w:themeColor="text1"/>
          <w:kern w:val="0"/>
          <w:szCs w:val="21"/>
        </w:rPr>
        <w:t>依据各产业PMC提供的《</w:t>
      </w:r>
      <w:r>
        <w:rPr>
          <w:rFonts w:asciiTheme="minorEastAsia" w:eastAsiaTheme="minorEastAsia" w:hAnsiTheme="minorEastAsia" w:cs="Segoe UI"/>
          <w:color w:val="000000" w:themeColor="text1"/>
          <w:kern w:val="0"/>
          <w:szCs w:val="21"/>
        </w:rPr>
        <w:t>成品库存表</w:t>
      </w:r>
      <w:r>
        <w:rPr>
          <w:rFonts w:asciiTheme="minorEastAsia" w:eastAsiaTheme="minorEastAsia" w:hAnsiTheme="minorEastAsia" w:cs="Segoe UI" w:hint="eastAsia"/>
          <w:color w:val="000000" w:themeColor="text1"/>
          <w:kern w:val="0"/>
          <w:szCs w:val="21"/>
        </w:rPr>
        <w:t>》</w:t>
      </w:r>
      <w:r>
        <w:rPr>
          <w:rFonts w:asciiTheme="minorEastAsia" w:eastAsiaTheme="minorEastAsia" w:hAnsiTheme="minorEastAsia" w:cs="Segoe UI"/>
          <w:color w:val="000000" w:themeColor="text1"/>
          <w:kern w:val="0"/>
          <w:szCs w:val="21"/>
        </w:rPr>
        <w:t>，匹配货期（如有变更货期，以审批变更货期为准），如果货期已到且超期2个月以上未发货，对销售进行考核；</w:t>
      </w:r>
    </w:p>
    <w:p w14:paraId="737C86BF" w14:textId="77777777" w:rsidR="005A223D" w:rsidRDefault="00000000">
      <w:pPr>
        <w:widowControl/>
        <w:shd w:val="clear" w:color="auto" w:fill="FFFFFF"/>
        <w:spacing w:line="312" w:lineRule="auto"/>
        <w:ind w:firstLine="422"/>
        <w:jc w:val="left"/>
        <w:rPr>
          <w:rFonts w:asciiTheme="minorEastAsia" w:eastAsiaTheme="minorEastAsia" w:hAnsiTheme="minorEastAsia" w:cs="Segoe UI" w:hint="eastAsia"/>
          <w:color w:val="000000" w:themeColor="text1"/>
          <w:kern w:val="0"/>
          <w:szCs w:val="21"/>
        </w:rPr>
      </w:pPr>
      <w:r>
        <w:rPr>
          <w:rFonts w:ascii="Calibri" w:eastAsiaTheme="minorEastAsia" w:hAnsi="Calibri" w:cs="Calibri"/>
          <w:color w:val="000000" w:themeColor="text1"/>
          <w:kern w:val="0"/>
          <w:szCs w:val="21"/>
        </w:rPr>
        <w:t>③</w:t>
      </w:r>
      <w:r>
        <w:rPr>
          <w:rFonts w:asciiTheme="minorEastAsia" w:eastAsiaTheme="minorEastAsia" w:hAnsiTheme="minorEastAsia" w:cs="Segoe UI"/>
          <w:color w:val="000000" w:themeColor="text1"/>
          <w:kern w:val="0"/>
          <w:szCs w:val="21"/>
        </w:rPr>
        <w:t>库存处罚</w:t>
      </w:r>
      <w:r>
        <w:rPr>
          <w:rFonts w:asciiTheme="minorEastAsia" w:eastAsiaTheme="minorEastAsia" w:hAnsiTheme="minorEastAsia" w:cs="Segoe UI" w:hint="eastAsia"/>
          <w:color w:val="000000" w:themeColor="text1"/>
          <w:kern w:val="0"/>
          <w:szCs w:val="21"/>
        </w:rPr>
        <w:t>-对计划</w:t>
      </w:r>
      <w:r>
        <w:rPr>
          <w:rFonts w:asciiTheme="minorEastAsia" w:eastAsiaTheme="minorEastAsia" w:hAnsiTheme="minorEastAsia" w:cs="Segoe UI"/>
          <w:color w:val="000000" w:themeColor="text1"/>
          <w:kern w:val="0"/>
          <w:szCs w:val="21"/>
        </w:rPr>
        <w:t>：商务</w:t>
      </w:r>
      <w:r>
        <w:rPr>
          <w:rFonts w:asciiTheme="minorEastAsia" w:eastAsiaTheme="minorEastAsia" w:hAnsiTheme="minorEastAsia" w:cs="Segoe UI" w:hint="eastAsia"/>
          <w:color w:val="000000" w:themeColor="text1"/>
          <w:kern w:val="0"/>
          <w:szCs w:val="21"/>
        </w:rPr>
        <w:t>依据各产业PMC提供的《</w:t>
      </w:r>
      <w:r>
        <w:rPr>
          <w:rFonts w:asciiTheme="minorEastAsia" w:eastAsiaTheme="minorEastAsia" w:hAnsiTheme="minorEastAsia" w:cs="Segoe UI"/>
          <w:color w:val="000000" w:themeColor="text1"/>
          <w:kern w:val="0"/>
          <w:szCs w:val="21"/>
        </w:rPr>
        <w:t>成品库存表</w:t>
      </w:r>
      <w:r>
        <w:rPr>
          <w:rFonts w:asciiTheme="minorEastAsia" w:eastAsiaTheme="minorEastAsia" w:hAnsiTheme="minorEastAsia" w:cs="Segoe UI" w:hint="eastAsia"/>
          <w:color w:val="000000" w:themeColor="text1"/>
          <w:kern w:val="0"/>
          <w:szCs w:val="21"/>
        </w:rPr>
        <w:t>》</w:t>
      </w:r>
      <w:r>
        <w:rPr>
          <w:rFonts w:asciiTheme="minorEastAsia" w:eastAsiaTheme="minorEastAsia" w:hAnsiTheme="minorEastAsia" w:cs="Segoe UI"/>
          <w:color w:val="000000" w:themeColor="text1"/>
          <w:kern w:val="0"/>
          <w:szCs w:val="21"/>
        </w:rPr>
        <w:t>，匹配货期（如有变更货期，以审批变更货期为准），如果成品库录入时间早于货期2个月以上，对厂内计划</w:t>
      </w:r>
      <w:r>
        <w:rPr>
          <w:rFonts w:asciiTheme="minorEastAsia" w:eastAsiaTheme="minorEastAsia" w:hAnsiTheme="minorEastAsia" w:cs="Segoe UI" w:hint="eastAsia"/>
          <w:color w:val="000000" w:themeColor="text1"/>
          <w:kern w:val="0"/>
          <w:szCs w:val="21"/>
        </w:rPr>
        <w:t>部门</w:t>
      </w:r>
      <w:r>
        <w:rPr>
          <w:rFonts w:asciiTheme="minorEastAsia" w:eastAsiaTheme="minorEastAsia" w:hAnsiTheme="minorEastAsia" w:cs="Segoe UI"/>
          <w:color w:val="000000" w:themeColor="text1"/>
          <w:kern w:val="0"/>
          <w:szCs w:val="21"/>
        </w:rPr>
        <w:t>进行考核；</w:t>
      </w:r>
    </w:p>
    <w:p w14:paraId="5E38222E" w14:textId="77777777" w:rsidR="005A223D" w:rsidRDefault="00000000">
      <w:pPr>
        <w:widowControl/>
        <w:shd w:val="clear" w:color="auto" w:fill="FFFFFF"/>
        <w:spacing w:line="312" w:lineRule="auto"/>
        <w:ind w:firstLine="422"/>
        <w:jc w:val="left"/>
        <w:rPr>
          <w:rFonts w:asciiTheme="minorEastAsia" w:eastAsiaTheme="minorEastAsia" w:hAnsiTheme="minorEastAsia" w:cs="Segoe UI" w:hint="eastAsia"/>
          <w:color w:val="000000" w:themeColor="text1"/>
          <w:kern w:val="0"/>
          <w:szCs w:val="21"/>
        </w:rPr>
      </w:pPr>
      <w:r>
        <w:rPr>
          <w:rFonts w:asciiTheme="minorEastAsia" w:eastAsiaTheme="minorEastAsia" w:hAnsiTheme="minorEastAsia" w:cs="Segoe UI"/>
          <w:color w:val="000000" w:themeColor="text1"/>
          <w:kern w:val="0"/>
          <w:szCs w:val="21"/>
        </w:rPr>
        <w:t>注：考虑入库后</w:t>
      </w:r>
      <w:r>
        <w:rPr>
          <w:rFonts w:asciiTheme="minorEastAsia" w:eastAsiaTheme="minorEastAsia" w:hAnsiTheme="minorEastAsia" w:cs="Segoe UI" w:hint="eastAsia"/>
          <w:color w:val="000000" w:themeColor="text1"/>
          <w:kern w:val="0"/>
          <w:szCs w:val="21"/>
        </w:rPr>
        <w:t>的</w:t>
      </w:r>
      <w:r>
        <w:rPr>
          <w:rFonts w:asciiTheme="minorEastAsia" w:eastAsiaTheme="minorEastAsia" w:hAnsiTheme="minorEastAsia" w:cs="Segoe UI"/>
          <w:color w:val="000000" w:themeColor="text1"/>
          <w:kern w:val="0"/>
          <w:szCs w:val="21"/>
        </w:rPr>
        <w:t>检验、包装、发运时间，均按2个月过渡时间考虑，过渡期内不处罚；</w:t>
      </w:r>
    </w:p>
    <w:p w14:paraId="5E5AF95A" w14:textId="77777777" w:rsidR="005A223D" w:rsidRDefault="00000000">
      <w:pPr>
        <w:widowControl/>
        <w:shd w:val="clear" w:color="auto" w:fill="FFFFFF"/>
        <w:spacing w:line="312" w:lineRule="auto"/>
        <w:ind w:firstLine="422"/>
        <w:jc w:val="left"/>
        <w:rPr>
          <w:rFonts w:asciiTheme="minorEastAsia" w:eastAsiaTheme="minorEastAsia" w:hAnsiTheme="minorEastAsia" w:cs="Segoe UI" w:hint="eastAsia"/>
          <w:color w:val="000000" w:themeColor="text1"/>
          <w:kern w:val="0"/>
          <w:szCs w:val="21"/>
        </w:rPr>
      </w:pPr>
      <w:r>
        <w:rPr>
          <w:rFonts w:asciiTheme="minorEastAsia" w:eastAsiaTheme="minorEastAsia" w:hAnsiTheme="minorEastAsia" w:cs="Segoe UI" w:hint="eastAsia"/>
          <w:color w:val="000000" w:themeColor="text1"/>
          <w:kern w:val="0"/>
          <w:szCs w:val="21"/>
        </w:rPr>
        <w:t>1）公司对此部分成品库存每季度持续从大区费用池中处罚，处罚金额在每季度的第一个月末进行处罚，即四月、七月、十月、一月，分别扣除第一、二、三、四季度罚金，具体处罚方式如下：</w:t>
      </w:r>
    </w:p>
    <w:p w14:paraId="39E55E08" w14:textId="77777777" w:rsidR="005A223D" w:rsidRDefault="00000000">
      <w:pPr>
        <w:widowControl/>
        <w:shd w:val="clear" w:color="auto" w:fill="FFFFFF"/>
        <w:spacing w:line="312" w:lineRule="auto"/>
        <w:ind w:firstLine="422"/>
        <w:jc w:val="left"/>
        <w:rPr>
          <w:rFonts w:asciiTheme="minorEastAsia" w:eastAsiaTheme="minorEastAsia" w:hAnsiTheme="minorEastAsia" w:cs="Segoe UI" w:hint="eastAsia"/>
          <w:color w:val="000000" w:themeColor="text1"/>
          <w:kern w:val="0"/>
          <w:szCs w:val="21"/>
        </w:rPr>
      </w:pPr>
      <w:r>
        <w:rPr>
          <w:rFonts w:asciiTheme="minorEastAsia" w:eastAsiaTheme="minorEastAsia" w:hAnsiTheme="minorEastAsia" w:cs="Segoe UI" w:hint="eastAsia"/>
          <w:color w:val="000000" w:themeColor="text1"/>
          <w:kern w:val="0"/>
          <w:szCs w:val="21"/>
        </w:rPr>
        <w:t>每季度处罚金额</w:t>
      </w:r>
      <w:r>
        <w:rPr>
          <w:rFonts w:asciiTheme="minorEastAsia" w:eastAsiaTheme="minorEastAsia" w:hAnsiTheme="minorEastAsia" w:cs="Segoe UI"/>
          <w:color w:val="000000" w:themeColor="text1"/>
          <w:kern w:val="0"/>
          <w:szCs w:val="21"/>
        </w:rPr>
        <w:t>=</w:t>
      </w:r>
      <w:r>
        <w:rPr>
          <w:rFonts w:asciiTheme="minorEastAsia" w:eastAsiaTheme="minorEastAsia" w:hAnsiTheme="minorEastAsia" w:cs="Segoe UI" w:hint="eastAsia"/>
          <w:color w:val="000000" w:themeColor="text1"/>
          <w:kern w:val="0"/>
          <w:szCs w:val="21"/>
        </w:rPr>
        <w:t>（库存所属项目合同总额</w:t>
      </w:r>
      <w:r>
        <w:rPr>
          <w:rFonts w:asciiTheme="minorEastAsia" w:eastAsiaTheme="minorEastAsia" w:hAnsiTheme="minorEastAsia" w:cs="Segoe UI"/>
          <w:color w:val="000000" w:themeColor="text1"/>
          <w:kern w:val="0"/>
          <w:szCs w:val="21"/>
        </w:rPr>
        <w:t>*5%）/4</w:t>
      </w:r>
    </w:p>
    <w:p w14:paraId="47568114" w14:textId="77777777" w:rsidR="005A223D" w:rsidRDefault="00000000">
      <w:pPr>
        <w:widowControl/>
        <w:shd w:val="clear" w:color="auto" w:fill="FFFFFF"/>
        <w:spacing w:line="312" w:lineRule="auto"/>
        <w:ind w:firstLine="422"/>
        <w:jc w:val="left"/>
        <w:rPr>
          <w:rFonts w:asciiTheme="minorEastAsia" w:eastAsiaTheme="minorEastAsia" w:hAnsiTheme="minorEastAsia" w:cs="Segoe UI" w:hint="eastAsia"/>
          <w:color w:val="000000" w:themeColor="text1"/>
          <w:kern w:val="0"/>
          <w:szCs w:val="21"/>
        </w:rPr>
      </w:pPr>
      <w:r>
        <w:rPr>
          <w:rFonts w:asciiTheme="minorEastAsia" w:eastAsiaTheme="minorEastAsia" w:hAnsiTheme="minorEastAsia" w:cs="Segoe UI" w:hint="eastAsia"/>
          <w:color w:val="000000" w:themeColor="text1"/>
          <w:kern w:val="0"/>
          <w:szCs w:val="21"/>
        </w:rPr>
        <w:t>2）为鼓励营销中心同事积极开展营销工作，对处罚金额设置授信额度，每季度考核时，在额度内的部分不进行处罚，各大区额度计算方式为：</w:t>
      </w:r>
    </w:p>
    <w:p w14:paraId="54D54906" w14:textId="77777777" w:rsidR="005A223D" w:rsidRDefault="00000000">
      <w:pPr>
        <w:widowControl/>
        <w:shd w:val="clear" w:color="auto" w:fill="FFFFFF"/>
        <w:spacing w:line="312" w:lineRule="auto"/>
        <w:ind w:firstLine="422"/>
        <w:jc w:val="left"/>
        <w:rPr>
          <w:rFonts w:asciiTheme="minorEastAsia" w:eastAsiaTheme="minorEastAsia" w:hAnsiTheme="minorEastAsia" w:cs="Segoe UI" w:hint="eastAsia"/>
          <w:color w:val="000000" w:themeColor="text1"/>
          <w:kern w:val="0"/>
          <w:szCs w:val="21"/>
        </w:rPr>
      </w:pPr>
      <w:r>
        <w:rPr>
          <w:rFonts w:asciiTheme="minorEastAsia" w:eastAsiaTheme="minorEastAsia" w:hAnsiTheme="minorEastAsia" w:cs="Segoe UI" w:hint="eastAsia"/>
          <w:color w:val="000000" w:themeColor="text1"/>
          <w:kern w:val="0"/>
          <w:szCs w:val="21"/>
        </w:rPr>
        <w:t>授信额度=[（上一年度合同返回金额+上一年度回款金额+上一年度发货金额）/3]*3%</w:t>
      </w:r>
    </w:p>
    <w:p w14:paraId="258CB44F" w14:textId="77777777" w:rsidR="005A223D" w:rsidRDefault="00000000">
      <w:pPr>
        <w:widowControl/>
        <w:shd w:val="clear" w:color="auto" w:fill="FFFFFF"/>
        <w:spacing w:line="312" w:lineRule="auto"/>
        <w:ind w:firstLine="422"/>
        <w:jc w:val="left"/>
        <w:rPr>
          <w:rFonts w:asciiTheme="minorEastAsia" w:eastAsiaTheme="minorEastAsia" w:hAnsiTheme="minorEastAsia" w:cs="Segoe UI" w:hint="eastAsia"/>
          <w:b/>
          <w:bCs/>
          <w:color w:val="000000" w:themeColor="text1"/>
          <w:kern w:val="0"/>
          <w:szCs w:val="21"/>
        </w:rPr>
      </w:pPr>
      <w:r>
        <w:rPr>
          <w:rFonts w:asciiTheme="minorEastAsia" w:eastAsiaTheme="minorEastAsia" w:hAnsiTheme="minorEastAsia" w:cs="Segoe UI" w:hint="eastAsia"/>
          <w:bCs/>
          <w:color w:val="000000" w:themeColor="text1"/>
          <w:kern w:val="0"/>
          <w:szCs w:val="21"/>
        </w:rPr>
        <w:t>3）对已经确认取消的项目，请销售经理按《合同解除管理规定》尽快提交相关申请表，进行永久性取消；对工期推迟2个月以上项目，请销售经理按《合同解除管理规定》尽快提交相关申请表，进行暂时性取消；</w:t>
      </w:r>
      <w:r>
        <w:rPr>
          <w:rFonts w:asciiTheme="minorEastAsia" w:eastAsiaTheme="minorEastAsia" w:hAnsiTheme="minorEastAsia" w:cs="Segoe UI" w:hint="eastAsia"/>
          <w:b/>
          <w:bCs/>
          <w:color w:val="000000" w:themeColor="text1"/>
          <w:kern w:val="0"/>
          <w:szCs w:val="21"/>
        </w:rPr>
        <w:t xml:space="preserve"> </w:t>
      </w:r>
    </w:p>
    <w:p w14:paraId="200744A8" w14:textId="77777777" w:rsidR="005A223D" w:rsidRDefault="00000000">
      <w:pPr>
        <w:widowControl/>
        <w:shd w:val="clear" w:color="auto" w:fill="FFFFFF"/>
        <w:spacing w:line="312" w:lineRule="auto"/>
        <w:ind w:firstLine="422"/>
        <w:jc w:val="left"/>
        <w:rPr>
          <w:rFonts w:asciiTheme="minorEastAsia" w:eastAsiaTheme="minorEastAsia" w:hAnsiTheme="minorEastAsia" w:cs="Segoe UI" w:hint="eastAsia"/>
          <w:b/>
          <w:bCs/>
          <w:color w:val="000000" w:themeColor="text1"/>
          <w:kern w:val="0"/>
          <w:szCs w:val="21"/>
        </w:rPr>
      </w:pPr>
      <w:r>
        <w:rPr>
          <w:rFonts w:asciiTheme="minorEastAsia" w:eastAsiaTheme="minorEastAsia" w:hAnsiTheme="minorEastAsia" w:cs="Segoe UI" w:hint="eastAsia"/>
          <w:b/>
          <w:bCs/>
          <w:color w:val="000000" w:themeColor="text1"/>
          <w:kern w:val="0"/>
          <w:szCs w:val="21"/>
        </w:rPr>
        <w:t>4）特殊说明</w:t>
      </w:r>
    </w:p>
    <w:p w14:paraId="66E54665" w14:textId="77777777" w:rsidR="005A223D" w:rsidRDefault="00000000">
      <w:pPr>
        <w:widowControl/>
        <w:shd w:val="clear" w:color="auto" w:fill="FFFFFF"/>
        <w:spacing w:line="312" w:lineRule="auto"/>
        <w:ind w:firstLine="422"/>
        <w:jc w:val="left"/>
        <w:rPr>
          <w:rFonts w:asciiTheme="minorEastAsia" w:eastAsiaTheme="minorEastAsia" w:hAnsiTheme="minorEastAsia" w:cs="Segoe UI" w:hint="eastAsia"/>
          <w:bCs/>
          <w:color w:val="000000" w:themeColor="text1"/>
          <w:kern w:val="0"/>
          <w:szCs w:val="21"/>
        </w:rPr>
      </w:pPr>
      <w:r>
        <w:rPr>
          <w:rFonts w:asciiTheme="minorEastAsia" w:eastAsiaTheme="minorEastAsia" w:hAnsiTheme="minorEastAsia" w:cs="Segoe UI"/>
          <w:bCs/>
          <w:color w:val="000000" w:themeColor="text1"/>
          <w:kern w:val="0"/>
          <w:szCs w:val="21"/>
        </w:rPr>
        <w:t>a</w:t>
      </w:r>
      <w:r>
        <w:rPr>
          <w:rFonts w:asciiTheme="minorEastAsia" w:eastAsiaTheme="minorEastAsia" w:hAnsiTheme="minorEastAsia" w:cs="Segoe UI" w:hint="eastAsia"/>
          <w:bCs/>
          <w:color w:val="000000" w:themeColor="text1"/>
          <w:kern w:val="0"/>
          <w:szCs w:val="21"/>
        </w:rPr>
        <w:t>）、对重点工程经销售经理向营销主任专项申报获批备案后，成品库存不做处罚；</w:t>
      </w:r>
    </w:p>
    <w:p w14:paraId="5D27FB28" w14:textId="77777777" w:rsidR="005A223D" w:rsidRDefault="00000000">
      <w:pPr>
        <w:widowControl/>
        <w:shd w:val="clear" w:color="auto" w:fill="FFFFFF"/>
        <w:spacing w:line="312" w:lineRule="auto"/>
        <w:ind w:firstLine="422"/>
        <w:jc w:val="left"/>
        <w:rPr>
          <w:rFonts w:asciiTheme="minorEastAsia" w:eastAsiaTheme="minorEastAsia" w:hAnsiTheme="minorEastAsia" w:cs="Segoe UI" w:hint="eastAsia"/>
          <w:bCs/>
          <w:color w:val="000000" w:themeColor="text1"/>
          <w:kern w:val="0"/>
          <w:szCs w:val="21"/>
        </w:rPr>
      </w:pPr>
      <w:r>
        <w:rPr>
          <w:rFonts w:asciiTheme="minorEastAsia" w:eastAsiaTheme="minorEastAsia" w:hAnsiTheme="minorEastAsia" w:cs="Segoe UI" w:hint="eastAsia"/>
          <w:color w:val="000000" w:themeColor="text1"/>
          <w:kern w:val="0"/>
          <w:szCs w:val="21"/>
        </w:rPr>
        <w:lastRenderedPageBreak/>
        <w:t>b）、销售经理通过合同取消方式消纳成品库存的，</w:t>
      </w:r>
      <w:r>
        <w:rPr>
          <w:rFonts w:asciiTheme="minorEastAsia" w:eastAsiaTheme="minorEastAsia" w:hAnsiTheme="minorEastAsia" w:cs="Segoe UI" w:hint="eastAsia"/>
          <w:bCs/>
          <w:color w:val="000000" w:themeColor="text1"/>
          <w:kern w:val="0"/>
          <w:szCs w:val="21"/>
        </w:rPr>
        <w:t>按《合同解除管理规定》规定的损失核算方式进行处罚，罚金从大区费用池中扣除；</w:t>
      </w:r>
    </w:p>
    <w:p w14:paraId="3FDBF149" w14:textId="77777777" w:rsidR="005A223D" w:rsidRDefault="00000000">
      <w:pPr>
        <w:widowControl/>
        <w:shd w:val="clear" w:color="auto" w:fill="FFFFFF"/>
        <w:spacing w:line="312" w:lineRule="auto"/>
        <w:ind w:firstLine="422"/>
        <w:jc w:val="left"/>
        <w:rPr>
          <w:rFonts w:asciiTheme="minorEastAsia" w:eastAsiaTheme="minorEastAsia" w:hAnsiTheme="minorEastAsia" w:cs="Segoe UI" w:hint="eastAsia"/>
          <w:bCs/>
          <w:color w:val="000000" w:themeColor="text1"/>
          <w:kern w:val="0"/>
          <w:szCs w:val="21"/>
        </w:rPr>
      </w:pPr>
      <w:r>
        <w:rPr>
          <w:rFonts w:asciiTheme="minorEastAsia" w:eastAsiaTheme="minorEastAsia" w:hAnsiTheme="minorEastAsia" w:cs="Segoe UI" w:hint="eastAsia"/>
          <w:bCs/>
          <w:color w:val="000000" w:themeColor="text1"/>
          <w:kern w:val="0"/>
          <w:szCs w:val="21"/>
        </w:rPr>
        <w:t>c）</w:t>
      </w:r>
      <w:r>
        <w:rPr>
          <w:rFonts w:asciiTheme="minorEastAsia" w:eastAsiaTheme="minorEastAsia" w:hAnsiTheme="minorEastAsia" w:cs="Segoe UI"/>
          <w:bCs/>
          <w:color w:val="000000" w:themeColor="text1"/>
          <w:kern w:val="0"/>
          <w:szCs w:val="21"/>
        </w:rPr>
        <w:t>、</w:t>
      </w:r>
      <w:r>
        <w:rPr>
          <w:rFonts w:asciiTheme="minorEastAsia" w:eastAsiaTheme="minorEastAsia" w:hAnsiTheme="minorEastAsia" w:cs="Segoe UI" w:hint="eastAsia"/>
          <w:bCs/>
          <w:color w:val="000000" w:themeColor="text1"/>
          <w:kern w:val="0"/>
          <w:szCs w:val="21"/>
        </w:rPr>
        <w:t>对营销反馈工期推迟2个月以上项目，生产必须尽快安排拆解，公司可暂停对营销的处罚，如果由于生产</w:t>
      </w:r>
      <w:r>
        <w:rPr>
          <w:rFonts w:asciiTheme="minorEastAsia" w:eastAsiaTheme="minorEastAsia" w:hAnsiTheme="minorEastAsia" w:cs="Segoe UI"/>
          <w:bCs/>
          <w:color w:val="000000" w:themeColor="text1"/>
          <w:kern w:val="0"/>
          <w:szCs w:val="21"/>
        </w:rPr>
        <w:t>1个月以上未拆解，则公司将对生产进行处罚</w:t>
      </w:r>
      <w:r>
        <w:rPr>
          <w:rFonts w:asciiTheme="minorEastAsia" w:eastAsiaTheme="minorEastAsia" w:hAnsiTheme="minorEastAsia" w:cs="Segoe UI" w:hint="eastAsia"/>
          <w:bCs/>
          <w:color w:val="000000" w:themeColor="text1"/>
          <w:kern w:val="0"/>
          <w:szCs w:val="21"/>
        </w:rPr>
        <w:t>；</w:t>
      </w:r>
    </w:p>
    <w:p w14:paraId="2E9768D0" w14:textId="77777777" w:rsidR="005A223D" w:rsidRDefault="00000000">
      <w:pPr>
        <w:tabs>
          <w:tab w:val="left" w:pos="993"/>
        </w:tabs>
        <w:spacing w:line="360" w:lineRule="auto"/>
        <w:ind w:left="482"/>
        <w:outlineLvl w:val="0"/>
        <w:rPr>
          <w:rFonts w:asciiTheme="minorEastAsia" w:eastAsiaTheme="minorEastAsia" w:hAnsiTheme="minorEastAsia" w:cs="宋体" w:hint="eastAsia"/>
          <w:b/>
          <w:color w:val="000000" w:themeColor="text1"/>
          <w:kern w:val="0"/>
          <w:szCs w:val="21"/>
        </w:rPr>
      </w:pPr>
      <w:r>
        <w:rPr>
          <w:rFonts w:asciiTheme="minorEastAsia" w:eastAsiaTheme="minorEastAsia" w:hAnsiTheme="minorEastAsia" w:cs="宋体" w:hint="eastAsia"/>
          <w:b/>
          <w:color w:val="000000" w:themeColor="text1"/>
          <w:kern w:val="0"/>
          <w:szCs w:val="21"/>
        </w:rPr>
        <w:t>3：风险账款管理及奖惩政策</w:t>
      </w:r>
    </w:p>
    <w:p w14:paraId="4341A5D2" w14:textId="77777777" w:rsidR="005A223D" w:rsidRDefault="00000000">
      <w:pPr>
        <w:widowControl/>
        <w:shd w:val="clear" w:color="auto" w:fill="FFFFFF"/>
        <w:spacing w:line="312" w:lineRule="auto"/>
        <w:ind w:firstLine="422"/>
        <w:jc w:val="left"/>
        <w:rPr>
          <w:rFonts w:asciiTheme="minorEastAsia" w:eastAsiaTheme="minorEastAsia" w:hAnsiTheme="minorEastAsia" w:cs="Segoe UI" w:hint="eastAsia"/>
          <w:color w:val="000000" w:themeColor="text1"/>
          <w:kern w:val="0"/>
          <w:szCs w:val="21"/>
        </w:rPr>
      </w:pPr>
      <w:r>
        <w:rPr>
          <w:rFonts w:asciiTheme="minorEastAsia" w:eastAsiaTheme="minorEastAsia" w:hAnsiTheme="minorEastAsia" w:cs="Segoe UI" w:hint="eastAsia"/>
          <w:color w:val="000000" w:themeColor="text1"/>
          <w:kern w:val="0"/>
          <w:szCs w:val="21"/>
        </w:rPr>
        <w:t>1）对发货逾期款中，未形成死账的，经公司判定存在风险需专项管控的按逾期账龄进行处罚：</w:t>
      </w:r>
    </w:p>
    <w:p w14:paraId="6B8C6237" w14:textId="77777777" w:rsidR="005A223D" w:rsidRDefault="00000000">
      <w:pPr>
        <w:widowControl/>
        <w:shd w:val="clear" w:color="auto" w:fill="FFFFFF"/>
        <w:spacing w:line="312" w:lineRule="auto"/>
        <w:ind w:firstLine="422"/>
        <w:jc w:val="left"/>
        <w:rPr>
          <w:rFonts w:asciiTheme="minorEastAsia" w:eastAsiaTheme="minorEastAsia" w:hAnsiTheme="minorEastAsia" w:cs="Segoe UI" w:hint="eastAsia"/>
          <w:color w:val="000000" w:themeColor="text1"/>
          <w:kern w:val="0"/>
          <w:szCs w:val="21"/>
        </w:rPr>
      </w:pPr>
      <w:r>
        <w:rPr>
          <w:rFonts w:asciiTheme="minorEastAsia" w:eastAsiaTheme="minorEastAsia" w:hAnsiTheme="minorEastAsia" w:cs="Segoe UI" w:hint="eastAsia"/>
          <w:color w:val="000000" w:themeColor="text1"/>
          <w:kern w:val="0"/>
          <w:szCs w:val="21"/>
        </w:rPr>
        <w:t>a）逾期账龄1年~2年，按发货逾期款0.5%，每季度从大区费用池中扣减；</w:t>
      </w:r>
    </w:p>
    <w:p w14:paraId="1A7A2F4F" w14:textId="77777777" w:rsidR="005A223D" w:rsidRDefault="00000000">
      <w:pPr>
        <w:widowControl/>
        <w:shd w:val="clear" w:color="auto" w:fill="FFFFFF"/>
        <w:spacing w:line="312" w:lineRule="auto"/>
        <w:ind w:firstLine="422"/>
        <w:jc w:val="left"/>
        <w:rPr>
          <w:rFonts w:asciiTheme="minorEastAsia" w:eastAsiaTheme="minorEastAsia" w:hAnsiTheme="minorEastAsia" w:cs="Segoe UI" w:hint="eastAsia"/>
          <w:color w:val="000000" w:themeColor="text1"/>
          <w:kern w:val="0"/>
          <w:szCs w:val="21"/>
        </w:rPr>
      </w:pPr>
      <w:r>
        <w:rPr>
          <w:rFonts w:asciiTheme="minorEastAsia" w:eastAsiaTheme="minorEastAsia" w:hAnsiTheme="minorEastAsia" w:cs="Segoe UI" w:hint="eastAsia"/>
          <w:color w:val="000000" w:themeColor="text1"/>
          <w:kern w:val="0"/>
          <w:szCs w:val="21"/>
        </w:rPr>
        <w:t>b）逾期账龄2年以上，按发货逾期款1%，每季度从大区费用池中扣减；</w:t>
      </w:r>
    </w:p>
    <w:p w14:paraId="70060642" w14:textId="77777777" w:rsidR="005A223D" w:rsidRDefault="00000000">
      <w:pPr>
        <w:widowControl/>
        <w:shd w:val="clear" w:color="auto" w:fill="FFFFFF"/>
        <w:spacing w:line="312" w:lineRule="auto"/>
        <w:ind w:firstLine="422"/>
        <w:jc w:val="left"/>
        <w:rPr>
          <w:rFonts w:asciiTheme="minorEastAsia" w:eastAsiaTheme="minorEastAsia" w:hAnsiTheme="minorEastAsia" w:cs="Segoe UI" w:hint="eastAsia"/>
          <w:color w:val="000000" w:themeColor="text1"/>
          <w:kern w:val="0"/>
          <w:szCs w:val="21"/>
        </w:rPr>
      </w:pPr>
      <w:r>
        <w:rPr>
          <w:rFonts w:asciiTheme="minorEastAsia" w:eastAsiaTheme="minorEastAsia" w:hAnsiTheme="minorEastAsia" w:cs="Segoe UI" w:hint="eastAsia"/>
          <w:color w:val="000000" w:themeColor="text1"/>
          <w:kern w:val="0"/>
          <w:szCs w:val="21"/>
        </w:rPr>
        <w:t>2）死账处罚：对经公司清欠部门及第三方清欠公司处理后仍未回款，或进入强制执行满6个月仍未回款的发货未清款，公司认定为死账，并直接按定损处理：</w:t>
      </w:r>
    </w:p>
    <w:p w14:paraId="31FD6DE2" w14:textId="77777777" w:rsidR="005A223D" w:rsidRDefault="00000000">
      <w:pPr>
        <w:widowControl/>
        <w:shd w:val="clear" w:color="auto" w:fill="FFFFFF"/>
        <w:spacing w:line="312" w:lineRule="auto"/>
        <w:ind w:firstLine="422"/>
        <w:jc w:val="left"/>
        <w:rPr>
          <w:rFonts w:asciiTheme="minorEastAsia" w:eastAsiaTheme="minorEastAsia" w:hAnsiTheme="minorEastAsia" w:cs="Segoe UI" w:hint="eastAsia"/>
          <w:color w:val="000000" w:themeColor="text1"/>
          <w:kern w:val="0"/>
          <w:szCs w:val="21"/>
        </w:rPr>
      </w:pPr>
      <w:r>
        <w:rPr>
          <w:rFonts w:asciiTheme="minorEastAsia" w:eastAsiaTheme="minorEastAsia" w:hAnsiTheme="minorEastAsia" w:cs="Segoe UI"/>
          <w:color w:val="000000" w:themeColor="text1"/>
          <w:kern w:val="0"/>
          <w:szCs w:val="21"/>
        </w:rPr>
        <w:t>a）月度提成</w:t>
      </w:r>
      <w:r>
        <w:rPr>
          <w:rFonts w:asciiTheme="minorEastAsia" w:eastAsiaTheme="minorEastAsia" w:hAnsiTheme="minorEastAsia" w:cs="Segoe UI" w:hint="eastAsia"/>
          <w:color w:val="000000" w:themeColor="text1"/>
          <w:kern w:val="0"/>
          <w:szCs w:val="21"/>
        </w:rPr>
        <w:t>：死账总额的10%，按月从大区</w:t>
      </w:r>
      <w:r>
        <w:rPr>
          <w:rFonts w:asciiTheme="minorEastAsia" w:eastAsiaTheme="minorEastAsia" w:hAnsiTheme="minorEastAsia" w:cs="Segoe UI"/>
          <w:color w:val="000000" w:themeColor="text1"/>
          <w:kern w:val="0"/>
          <w:szCs w:val="21"/>
        </w:rPr>
        <w:t>月度提成</w:t>
      </w:r>
      <w:r>
        <w:rPr>
          <w:rFonts w:asciiTheme="minorEastAsia" w:eastAsiaTheme="minorEastAsia" w:hAnsiTheme="minorEastAsia" w:cs="Segoe UI" w:hint="eastAsia"/>
          <w:color w:val="000000" w:themeColor="text1"/>
          <w:kern w:val="0"/>
          <w:szCs w:val="21"/>
        </w:rPr>
        <w:t>中扣除，分12个月扣完；</w:t>
      </w:r>
    </w:p>
    <w:p w14:paraId="73352CE8" w14:textId="77777777" w:rsidR="005A223D" w:rsidRDefault="00000000">
      <w:pPr>
        <w:widowControl/>
        <w:shd w:val="clear" w:color="auto" w:fill="FFFFFF"/>
        <w:spacing w:line="312" w:lineRule="auto"/>
        <w:ind w:firstLine="422"/>
        <w:jc w:val="left"/>
        <w:rPr>
          <w:rFonts w:asciiTheme="minorEastAsia" w:eastAsiaTheme="minorEastAsia" w:hAnsiTheme="minorEastAsia" w:cs="Segoe UI" w:hint="eastAsia"/>
          <w:color w:val="000000" w:themeColor="text1"/>
          <w:kern w:val="0"/>
          <w:szCs w:val="21"/>
        </w:rPr>
      </w:pPr>
      <w:r>
        <w:rPr>
          <w:rFonts w:asciiTheme="minorEastAsia" w:eastAsiaTheme="minorEastAsia" w:hAnsiTheme="minorEastAsia" w:cs="Segoe UI" w:hint="eastAsia"/>
          <w:color w:val="000000" w:themeColor="text1"/>
          <w:kern w:val="0"/>
          <w:szCs w:val="21"/>
        </w:rPr>
        <w:t>b</w:t>
      </w:r>
      <w:r>
        <w:rPr>
          <w:rFonts w:asciiTheme="minorEastAsia" w:eastAsiaTheme="minorEastAsia" w:hAnsiTheme="minorEastAsia" w:cs="Segoe UI"/>
          <w:color w:val="000000" w:themeColor="text1"/>
          <w:kern w:val="0"/>
          <w:szCs w:val="21"/>
        </w:rPr>
        <w:t>）年终提成</w:t>
      </w:r>
      <w:r>
        <w:rPr>
          <w:rFonts w:asciiTheme="minorEastAsia" w:eastAsiaTheme="minorEastAsia" w:hAnsiTheme="minorEastAsia" w:cs="Segoe UI" w:hint="eastAsia"/>
          <w:color w:val="000000" w:themeColor="text1"/>
          <w:kern w:val="0"/>
          <w:szCs w:val="21"/>
        </w:rPr>
        <w:t>：死账总额的10%，从当年大区</w:t>
      </w:r>
      <w:r>
        <w:rPr>
          <w:rFonts w:asciiTheme="minorEastAsia" w:eastAsiaTheme="minorEastAsia" w:hAnsiTheme="minorEastAsia" w:cs="Segoe UI"/>
          <w:color w:val="000000" w:themeColor="text1"/>
          <w:kern w:val="0"/>
          <w:szCs w:val="21"/>
        </w:rPr>
        <w:t>年终提成</w:t>
      </w:r>
      <w:r>
        <w:rPr>
          <w:rFonts w:asciiTheme="minorEastAsia" w:eastAsiaTheme="minorEastAsia" w:hAnsiTheme="minorEastAsia" w:cs="Segoe UI" w:hint="eastAsia"/>
          <w:color w:val="000000" w:themeColor="text1"/>
          <w:kern w:val="0"/>
          <w:szCs w:val="21"/>
        </w:rPr>
        <w:t>中扣除，当年扣完；</w:t>
      </w:r>
    </w:p>
    <w:p w14:paraId="4DA92049" w14:textId="77777777" w:rsidR="005A223D" w:rsidRDefault="00000000">
      <w:pPr>
        <w:widowControl/>
        <w:shd w:val="clear" w:color="auto" w:fill="FFFFFF"/>
        <w:spacing w:line="312" w:lineRule="auto"/>
        <w:ind w:firstLine="422"/>
        <w:jc w:val="left"/>
        <w:rPr>
          <w:rFonts w:asciiTheme="minorEastAsia" w:eastAsiaTheme="minorEastAsia" w:hAnsiTheme="minorEastAsia" w:cs="Segoe UI" w:hint="eastAsia"/>
          <w:color w:val="000000" w:themeColor="text1"/>
          <w:kern w:val="0"/>
          <w:szCs w:val="21"/>
        </w:rPr>
      </w:pPr>
      <w:r>
        <w:rPr>
          <w:rFonts w:asciiTheme="minorEastAsia" w:eastAsiaTheme="minorEastAsia" w:hAnsiTheme="minorEastAsia" w:cs="Segoe UI"/>
          <w:color w:val="000000" w:themeColor="text1"/>
          <w:kern w:val="0"/>
          <w:szCs w:val="21"/>
        </w:rPr>
        <w:t>c）</w:t>
      </w:r>
      <w:r>
        <w:rPr>
          <w:rFonts w:asciiTheme="minorEastAsia" w:eastAsiaTheme="minorEastAsia" w:hAnsiTheme="minorEastAsia" w:cs="Segoe UI" w:hint="eastAsia"/>
          <w:color w:val="000000" w:themeColor="text1"/>
          <w:kern w:val="0"/>
          <w:szCs w:val="21"/>
        </w:rPr>
        <w:t>费用池：死账总额的80%，在下季度第一个月，从大区费用池中一次性扣除；</w:t>
      </w:r>
    </w:p>
    <w:p w14:paraId="38473237" w14:textId="77777777" w:rsidR="005A223D" w:rsidRDefault="00000000">
      <w:pPr>
        <w:widowControl/>
        <w:shd w:val="clear" w:color="auto" w:fill="FFFFFF"/>
        <w:spacing w:line="312" w:lineRule="auto"/>
        <w:ind w:firstLine="422"/>
        <w:jc w:val="left"/>
        <w:rPr>
          <w:rFonts w:asciiTheme="minorEastAsia" w:eastAsiaTheme="minorEastAsia" w:hAnsiTheme="minorEastAsia" w:cs="Segoe UI" w:hint="eastAsia"/>
          <w:color w:val="000000" w:themeColor="text1"/>
          <w:kern w:val="0"/>
          <w:szCs w:val="21"/>
        </w:rPr>
      </w:pPr>
      <w:r>
        <w:rPr>
          <w:rFonts w:asciiTheme="minorEastAsia" w:eastAsiaTheme="minorEastAsia" w:hAnsiTheme="minorEastAsia" w:cs="Segoe UI" w:hint="eastAsia"/>
          <w:color w:val="000000" w:themeColor="text1"/>
          <w:kern w:val="0"/>
          <w:szCs w:val="21"/>
        </w:rPr>
        <w:t>3）为鼓励营销中心同事积极开展风险账款的清欠，对移交公司法务清欠回款额可在年底统一计入大区回款任务，正常触发费用发放进度，相关回款月奖、年奖不予发放；对已认定死账半年内即完成清欠回收的项目，返还处罚额的90%；对已认定死账一年内即完成清欠回收的项目，返还处罚额的70%；</w:t>
      </w:r>
    </w:p>
    <w:p w14:paraId="06721BEB" w14:textId="77777777" w:rsidR="005A223D" w:rsidRDefault="00000000">
      <w:pPr>
        <w:widowControl/>
        <w:shd w:val="clear" w:color="auto" w:fill="FFFFFF"/>
        <w:spacing w:line="312" w:lineRule="auto"/>
        <w:ind w:firstLine="422"/>
        <w:jc w:val="left"/>
        <w:rPr>
          <w:rFonts w:asciiTheme="minorEastAsia" w:eastAsiaTheme="minorEastAsia" w:hAnsiTheme="minorEastAsia" w:cs="Segoe UI" w:hint="eastAsia"/>
          <w:color w:val="000000" w:themeColor="text1"/>
          <w:kern w:val="0"/>
          <w:szCs w:val="21"/>
        </w:rPr>
      </w:pPr>
      <w:r>
        <w:rPr>
          <w:rFonts w:asciiTheme="minorEastAsia" w:eastAsiaTheme="minorEastAsia" w:hAnsiTheme="minorEastAsia" w:cs="Segoe UI" w:hint="eastAsia"/>
          <w:color w:val="000000" w:themeColor="text1"/>
          <w:kern w:val="0"/>
          <w:szCs w:val="21"/>
        </w:rPr>
        <w:t>4）死账扣罚统计时间为每年12月，相关费用同步在年底扣除。</w:t>
      </w:r>
    </w:p>
    <w:p w14:paraId="35B1D635" w14:textId="77777777" w:rsidR="005A223D" w:rsidRDefault="00000000">
      <w:pPr>
        <w:tabs>
          <w:tab w:val="left" w:pos="993"/>
        </w:tabs>
        <w:spacing w:line="360" w:lineRule="auto"/>
        <w:ind w:left="482"/>
        <w:outlineLvl w:val="0"/>
        <w:rPr>
          <w:rFonts w:asciiTheme="minorEastAsia" w:eastAsiaTheme="minorEastAsia" w:hAnsiTheme="minorEastAsia" w:cs="宋体" w:hint="eastAsia"/>
          <w:b/>
          <w:color w:val="000000" w:themeColor="text1"/>
          <w:kern w:val="0"/>
          <w:szCs w:val="21"/>
        </w:rPr>
      </w:pPr>
      <w:r>
        <w:rPr>
          <w:rFonts w:asciiTheme="minorEastAsia" w:eastAsiaTheme="minorEastAsia" w:hAnsiTheme="minorEastAsia" w:cs="宋体" w:hint="eastAsia"/>
          <w:b/>
          <w:color w:val="000000" w:themeColor="text1"/>
          <w:kern w:val="0"/>
          <w:szCs w:val="21"/>
        </w:rPr>
        <w:t>4：“合同解除管理政策”</w:t>
      </w:r>
    </w:p>
    <w:p w14:paraId="206A6362" w14:textId="77777777" w:rsidR="005A223D" w:rsidRDefault="00000000">
      <w:pPr>
        <w:widowControl/>
        <w:shd w:val="clear" w:color="auto" w:fill="FFFFFF"/>
        <w:spacing w:line="312" w:lineRule="auto"/>
        <w:ind w:firstLine="422"/>
        <w:jc w:val="left"/>
        <w:rPr>
          <w:rFonts w:asciiTheme="minorEastAsia" w:eastAsiaTheme="minorEastAsia" w:hAnsiTheme="minorEastAsia" w:cs="Segoe UI" w:hint="eastAsia"/>
          <w:color w:val="000000" w:themeColor="text1"/>
          <w:kern w:val="0"/>
          <w:szCs w:val="21"/>
        </w:rPr>
      </w:pPr>
      <w:r>
        <w:rPr>
          <w:rFonts w:asciiTheme="minorEastAsia" w:eastAsiaTheme="minorEastAsia" w:hAnsiTheme="minorEastAsia" w:cs="Segoe UI" w:hint="eastAsia"/>
          <w:color w:val="000000" w:themeColor="text1"/>
          <w:kern w:val="0"/>
          <w:szCs w:val="21"/>
        </w:rPr>
        <w:t>费用处罚：合同取消如造成损失，公司将按最终损失金额的一定比例从该销售经理所在大区的费用池中扣除，同时在合同取消当月从大区中扣除该合同所产生的费用及奖金；</w:t>
      </w:r>
    </w:p>
    <w:p w14:paraId="163963D5" w14:textId="77777777" w:rsidR="005A223D" w:rsidRDefault="00000000">
      <w:pPr>
        <w:widowControl/>
        <w:shd w:val="clear" w:color="auto" w:fill="FFFFFF"/>
        <w:spacing w:line="312" w:lineRule="auto"/>
        <w:ind w:firstLine="422"/>
        <w:jc w:val="left"/>
        <w:rPr>
          <w:rFonts w:asciiTheme="minorEastAsia" w:eastAsiaTheme="minorEastAsia" w:hAnsiTheme="minorEastAsia" w:cs="Segoe UI" w:hint="eastAsia"/>
          <w:color w:val="000000" w:themeColor="text1"/>
          <w:kern w:val="0"/>
          <w:szCs w:val="21"/>
        </w:rPr>
      </w:pPr>
      <w:r>
        <w:rPr>
          <w:rFonts w:asciiTheme="minorEastAsia" w:eastAsiaTheme="minorEastAsia" w:hAnsiTheme="minorEastAsia" w:cs="Segoe UI" w:hint="eastAsia"/>
          <w:color w:val="000000" w:themeColor="text1"/>
          <w:kern w:val="0"/>
          <w:szCs w:val="21"/>
        </w:rPr>
        <w:t>处罚返还：商务将核算结果反馈至销售及大区负责人；销售作为责任主体对因此产生的呆滞品进行消纳，消纳完成后可返还相关处罚费用至大区；</w:t>
      </w:r>
    </w:p>
    <w:p w14:paraId="1BD53E5B" w14:textId="77777777" w:rsidR="005A223D" w:rsidRDefault="00000000">
      <w:pPr>
        <w:widowControl/>
        <w:shd w:val="clear" w:color="auto" w:fill="FFFFFF"/>
        <w:spacing w:line="312" w:lineRule="auto"/>
        <w:ind w:firstLine="422"/>
        <w:jc w:val="left"/>
        <w:rPr>
          <w:rFonts w:asciiTheme="minorEastAsia" w:eastAsiaTheme="minorEastAsia" w:hAnsiTheme="minorEastAsia" w:cs="Segoe UI" w:hint="eastAsia"/>
          <w:color w:val="000000" w:themeColor="text1"/>
          <w:kern w:val="0"/>
          <w:szCs w:val="21"/>
        </w:rPr>
      </w:pPr>
      <w:r>
        <w:rPr>
          <w:rFonts w:asciiTheme="minorEastAsia" w:eastAsiaTheme="minorEastAsia" w:hAnsiTheme="minorEastAsia" w:cs="Segoe UI" w:hint="eastAsia"/>
          <w:color w:val="000000" w:themeColor="text1"/>
          <w:kern w:val="0"/>
          <w:szCs w:val="21"/>
        </w:rPr>
        <w:t>注1：最终损失额=外购损失额+自产损失额+无法追回的保证金中标费-向客户争取到的赔偿；</w:t>
      </w:r>
    </w:p>
    <w:p w14:paraId="5C56E5C2" w14:textId="77777777" w:rsidR="005A223D" w:rsidRDefault="00000000">
      <w:pPr>
        <w:widowControl/>
        <w:shd w:val="clear" w:color="auto" w:fill="FFFFFF"/>
        <w:spacing w:line="312" w:lineRule="auto"/>
        <w:ind w:firstLine="422"/>
        <w:jc w:val="left"/>
        <w:rPr>
          <w:rFonts w:asciiTheme="minorEastAsia" w:eastAsiaTheme="minorEastAsia" w:hAnsiTheme="minorEastAsia" w:cs="Segoe UI" w:hint="eastAsia"/>
          <w:color w:val="000000" w:themeColor="text1"/>
          <w:kern w:val="0"/>
          <w:szCs w:val="21"/>
        </w:rPr>
      </w:pPr>
      <w:r>
        <w:rPr>
          <w:rFonts w:asciiTheme="minorEastAsia" w:eastAsiaTheme="minorEastAsia" w:hAnsiTheme="minorEastAsia" w:cs="Segoe UI" w:hint="eastAsia"/>
          <w:color w:val="000000" w:themeColor="text1"/>
          <w:kern w:val="0"/>
          <w:szCs w:val="21"/>
        </w:rPr>
        <w:t>注2：销售经理离职期间，大区负责人需对未结项目（未回合同、未发货、未回款）指定新责任人交接，新责任人及分管领导需对移交信息真实性进行重点核实，后续相关项目取消等考核责任及后期奖金费用受益均归属新责任人；</w:t>
      </w:r>
    </w:p>
    <w:p w14:paraId="70E52485" w14:textId="77777777" w:rsidR="005A223D" w:rsidRDefault="005A223D"/>
    <w:sectPr w:rsidR="005A223D">
      <w:pgSz w:w="11906" w:h="16838"/>
      <w:pgMar w:top="1418" w:right="1418" w:bottom="1418" w:left="1418" w:header="851" w:footer="851" w:gutter="0"/>
      <w:pgNumType w:start="1"/>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Yeh Wang" w:date="2025-11-24T17:09:00Z" w:initials="YW">
    <w:p w14:paraId="60CF8E99" w14:textId="7E663116" w:rsidR="00050978" w:rsidRDefault="00050978">
      <w:pPr>
        <w:pStyle w:val="a6"/>
      </w:pPr>
      <w:r>
        <w:rPr>
          <w:rStyle w:val="a5"/>
        </w:rPr>
        <w:annotationRef/>
      </w:r>
      <w:r>
        <w:rPr>
          <w:rFonts w:hint="eastAsia"/>
        </w:rPr>
        <w:t>计入哪个账户，匹配规则是什么</w:t>
      </w:r>
    </w:p>
  </w:comment>
  <w:comment w:id="1" w:author="Yeh Wang" w:date="2025-11-24T17:10:00Z" w:initials="YW">
    <w:p w14:paraId="31760FE8" w14:textId="1B14F70A" w:rsidR="00050978" w:rsidRDefault="00050978">
      <w:pPr>
        <w:pStyle w:val="a6"/>
      </w:pPr>
      <w:r>
        <w:rPr>
          <w:rStyle w:val="a5"/>
        </w:rPr>
        <w:annotationRef/>
      </w:r>
      <w:r>
        <w:rPr>
          <w:rFonts w:hint="eastAsia"/>
        </w:rPr>
        <w:t>不清楚具体意思</w:t>
      </w:r>
    </w:p>
  </w:comment>
  <w:comment w:id="2" w:author="Yeh Wang" w:date="2025-11-24T17:10:00Z" w:initials="YW">
    <w:p w14:paraId="0E55F66E" w14:textId="3E3F9FC2" w:rsidR="00050978" w:rsidRDefault="00050978">
      <w:pPr>
        <w:pStyle w:val="a6"/>
      </w:pPr>
      <w:r>
        <w:rPr>
          <w:rStyle w:val="a5"/>
        </w:rPr>
        <w:annotationRef/>
      </w:r>
      <w:r>
        <w:rPr>
          <w:rFonts w:hint="eastAsia"/>
        </w:rPr>
        <w:t>需要确认</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0CF8E99" w15:done="0"/>
  <w15:commentEx w15:paraId="31760FE8" w15:done="0"/>
  <w15:commentEx w15:paraId="0E55F66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B3CF118" w16cex:dateUtc="2025-11-24T09:09:00Z"/>
  <w16cex:commentExtensible w16cex:durableId="20DFFDCF" w16cex:dateUtc="2025-11-24T09:10:00Z"/>
  <w16cex:commentExtensible w16cex:durableId="190DCCA7" w16cex:dateUtc="2025-11-24T09: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0CF8E99" w16cid:durableId="5B3CF118"/>
  <w16cid:commentId w16cid:paraId="31760FE8" w16cid:durableId="20DFFDCF"/>
  <w16cid:commentId w16cid:paraId="0E55F66E" w16cid:durableId="190DCCA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Segoe UI">
    <w:panose1 w:val="020B0502040204020203"/>
    <w:charset w:val="00"/>
    <w:family w:val="swiss"/>
    <w:pitch w:val="default"/>
    <w:sig w:usb0="E4002EFF" w:usb1="C000E47F" w:usb2="00000009" w:usb3="00000000" w:csb0="2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2FEF1F1"/>
    <w:multiLevelType w:val="multilevel"/>
    <w:tmpl w:val="92FEF1F1"/>
    <w:lvl w:ilvl="0">
      <w:start w:val="2"/>
      <w:numFmt w:val="decimal"/>
      <w:suff w:val="nothing"/>
      <w:lvlText w:val="%1、"/>
      <w:lvlJc w:val="left"/>
    </w:lvl>
    <w:lvl w:ilvl="1">
      <w:start w:val="1"/>
      <w:numFmt w:val="decimal"/>
      <w:lvlText w:val="(%2)"/>
      <w:lvlJc w:val="left"/>
      <w:pPr>
        <w:tabs>
          <w:tab w:val="left" w:pos="840"/>
        </w:tabs>
        <w:ind w:left="840" w:hanging="420"/>
      </w:pPr>
      <w:rPr>
        <w:rFonts w:hint="default"/>
      </w:rPr>
    </w:lvl>
    <w:lvl w:ilvl="2">
      <w:start w:val="1"/>
      <w:numFmt w:val="decimalEnclosedCircleChinese"/>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Letter"/>
      <w:lvlText w:val="%6)"/>
      <w:lvlJc w:val="left"/>
      <w:pPr>
        <w:tabs>
          <w:tab w:val="left" w:pos="2520"/>
        </w:tabs>
        <w:ind w:left="2520" w:hanging="420"/>
      </w:pPr>
      <w:rPr>
        <w:rFonts w:hint="default"/>
      </w:rPr>
    </w:lvl>
    <w:lvl w:ilvl="6">
      <w:start w:val="1"/>
      <w:numFmt w:val="lowerRoman"/>
      <w:lvlText w:val="%7."/>
      <w:lvlJc w:val="left"/>
      <w:pPr>
        <w:tabs>
          <w:tab w:val="left" w:pos="2940"/>
        </w:tabs>
        <w:ind w:left="2940" w:hanging="420"/>
      </w:pPr>
      <w:rPr>
        <w:rFonts w:hint="default"/>
      </w:rPr>
    </w:lvl>
    <w:lvl w:ilvl="7">
      <w:start w:val="1"/>
      <w:numFmt w:val="lowerRoman"/>
      <w:lvlText w:val="%8)"/>
      <w:lvlJc w:val="left"/>
      <w:pPr>
        <w:tabs>
          <w:tab w:val="left" w:pos="3360"/>
        </w:tabs>
        <w:ind w:left="3360" w:hanging="420"/>
      </w:pPr>
      <w:rPr>
        <w:rFonts w:hint="default"/>
      </w:rPr>
    </w:lvl>
    <w:lvl w:ilvl="8">
      <w:start w:val="1"/>
      <w:numFmt w:val="lowerLetter"/>
      <w:lvlText w:val="%9."/>
      <w:lvlJc w:val="left"/>
      <w:pPr>
        <w:tabs>
          <w:tab w:val="left" w:pos="3780"/>
        </w:tabs>
        <w:ind w:left="3780" w:hanging="420"/>
      </w:pPr>
      <w:rPr>
        <w:rFonts w:hint="default"/>
      </w:rPr>
    </w:lvl>
  </w:abstractNum>
  <w:abstractNum w:abstractNumId="1" w15:restartNumberingAfterBreak="0">
    <w:nsid w:val="B5B46FA1"/>
    <w:multiLevelType w:val="singleLevel"/>
    <w:tmpl w:val="B5B46FA1"/>
    <w:lvl w:ilvl="0">
      <w:start w:val="1"/>
      <w:numFmt w:val="bullet"/>
      <w:lvlText w:val=""/>
      <w:lvlJc w:val="left"/>
      <w:pPr>
        <w:ind w:left="420" w:hanging="420"/>
      </w:pPr>
      <w:rPr>
        <w:rFonts w:ascii="Wingdings" w:hAnsi="Wingdings" w:hint="default"/>
      </w:rPr>
    </w:lvl>
  </w:abstractNum>
  <w:abstractNum w:abstractNumId="2" w15:restartNumberingAfterBreak="0">
    <w:nsid w:val="FE7E86A4"/>
    <w:multiLevelType w:val="singleLevel"/>
    <w:tmpl w:val="FE7E86A4"/>
    <w:lvl w:ilvl="0">
      <w:start w:val="12"/>
      <w:numFmt w:val="upperLetter"/>
      <w:suff w:val="space"/>
      <w:lvlText w:val="%1."/>
      <w:lvlJc w:val="left"/>
    </w:lvl>
  </w:abstractNum>
  <w:abstractNum w:abstractNumId="3" w15:restartNumberingAfterBreak="0">
    <w:nsid w:val="5F272420"/>
    <w:multiLevelType w:val="multilevel"/>
    <w:tmpl w:val="5F272420"/>
    <w:lvl w:ilvl="0">
      <w:start w:val="1"/>
      <w:numFmt w:val="decimal"/>
      <w:lvlText w:val="(%1)"/>
      <w:lvlJc w:val="left"/>
      <w:pPr>
        <w:ind w:left="425" w:hanging="425"/>
      </w:pPr>
      <w:rPr>
        <w:rFonts w:hint="default"/>
      </w:rPr>
    </w:lvl>
    <w:lvl w:ilvl="1">
      <w:start w:val="1"/>
      <w:numFmt w:val="decimalEnclosedCircleChinese"/>
      <w:lvlText w:val="%2"/>
      <w:lvlJc w:val="left"/>
      <w:pPr>
        <w:tabs>
          <w:tab w:val="left" w:pos="840"/>
        </w:tabs>
        <w:ind w:left="840" w:hanging="420"/>
      </w:pPr>
      <w:rPr>
        <w:rFonts w:hint="default"/>
      </w:rPr>
    </w:lvl>
    <w:lvl w:ilvl="2">
      <w:start w:val="1"/>
      <w:numFmt w:val="decimal"/>
      <w:lvlText w:val="%3)"/>
      <w:lvlJc w:val="left"/>
      <w:pPr>
        <w:tabs>
          <w:tab w:val="left" w:pos="1260"/>
        </w:tabs>
        <w:ind w:left="1260" w:hanging="420"/>
      </w:pPr>
      <w:rPr>
        <w:rFonts w:hint="default"/>
      </w:rPr>
    </w:lvl>
    <w:lvl w:ilvl="3">
      <w:start w:val="1"/>
      <w:numFmt w:val="lowerLetter"/>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Roman"/>
      <w:lvlText w:val="%6."/>
      <w:lvlJc w:val="left"/>
      <w:pPr>
        <w:tabs>
          <w:tab w:val="left" w:pos="2520"/>
        </w:tabs>
        <w:ind w:left="2520" w:hanging="420"/>
      </w:pPr>
      <w:rPr>
        <w:rFonts w:hint="default"/>
      </w:rPr>
    </w:lvl>
    <w:lvl w:ilvl="6">
      <w:start w:val="1"/>
      <w:numFmt w:val="lowerRoman"/>
      <w:lvlText w:val="%7)"/>
      <w:lvlJc w:val="left"/>
      <w:pPr>
        <w:tabs>
          <w:tab w:val="left" w:pos="2940"/>
        </w:tabs>
        <w:ind w:left="2940" w:hanging="420"/>
      </w:pPr>
      <w:rPr>
        <w:rFonts w:hint="default"/>
      </w:rPr>
    </w:lvl>
    <w:lvl w:ilvl="7">
      <w:start w:val="1"/>
      <w:numFmt w:val="lowerLetter"/>
      <w:lvlText w:val="%8."/>
      <w:lvlJc w:val="left"/>
      <w:pPr>
        <w:tabs>
          <w:tab w:val="left" w:pos="3360"/>
        </w:tabs>
        <w:ind w:left="3360" w:hanging="420"/>
      </w:pPr>
      <w:rPr>
        <w:rFonts w:hint="default"/>
      </w:rPr>
    </w:lvl>
    <w:lvl w:ilvl="8">
      <w:start w:val="1"/>
      <w:numFmt w:val="lowerLetter"/>
      <w:lvlText w:val="%9)"/>
      <w:lvlJc w:val="left"/>
      <w:pPr>
        <w:tabs>
          <w:tab w:val="left" w:pos="3780"/>
        </w:tabs>
        <w:ind w:left="3780" w:hanging="420"/>
      </w:pPr>
      <w:rPr>
        <w:rFonts w:hint="default"/>
      </w:rPr>
    </w:lvl>
  </w:abstractNum>
  <w:abstractNum w:abstractNumId="4" w15:restartNumberingAfterBreak="0">
    <w:nsid w:val="6850001C"/>
    <w:multiLevelType w:val="multilevel"/>
    <w:tmpl w:val="6850001C"/>
    <w:lvl w:ilvl="0">
      <w:start w:val="1"/>
      <w:numFmt w:val="bullet"/>
      <w:lvlText w:val=""/>
      <w:lvlJc w:val="left"/>
      <w:pPr>
        <w:tabs>
          <w:tab w:val="left" w:pos="780"/>
        </w:tabs>
        <w:ind w:left="840" w:hanging="420"/>
      </w:pPr>
      <w:rPr>
        <w:rFonts w:ascii="Wingdings" w:hAnsi="Wingdings" w:hint="default"/>
      </w:rPr>
    </w:lvl>
    <w:lvl w:ilvl="1">
      <w:start w:val="1"/>
      <w:numFmt w:val="bullet"/>
      <w:lvlText w:val=""/>
      <w:lvlJc w:val="left"/>
      <w:pPr>
        <w:tabs>
          <w:tab w:val="left" w:pos="1200"/>
        </w:tabs>
        <w:ind w:left="1200" w:hanging="420"/>
      </w:pPr>
      <w:rPr>
        <w:rFonts w:ascii="Wingdings" w:hAnsi="Wingdings" w:hint="default"/>
      </w:rPr>
    </w:lvl>
    <w:lvl w:ilvl="2">
      <w:start w:val="1"/>
      <w:numFmt w:val="bullet"/>
      <w:lvlText w:val=""/>
      <w:lvlJc w:val="left"/>
      <w:pPr>
        <w:tabs>
          <w:tab w:val="left" w:pos="1620"/>
        </w:tabs>
        <w:ind w:left="1620" w:hanging="420"/>
      </w:pPr>
      <w:rPr>
        <w:rFonts w:ascii="Wingdings" w:hAnsi="Wingdings" w:hint="default"/>
      </w:rPr>
    </w:lvl>
    <w:lvl w:ilvl="3">
      <w:start w:val="1"/>
      <w:numFmt w:val="bullet"/>
      <w:lvlText w:val=""/>
      <w:lvlJc w:val="left"/>
      <w:pPr>
        <w:tabs>
          <w:tab w:val="left" w:pos="2040"/>
        </w:tabs>
        <w:ind w:left="2040" w:hanging="420"/>
      </w:pPr>
      <w:rPr>
        <w:rFonts w:ascii="Wingdings" w:hAnsi="Wingdings" w:hint="default"/>
      </w:rPr>
    </w:lvl>
    <w:lvl w:ilvl="4">
      <w:start w:val="1"/>
      <w:numFmt w:val="bullet"/>
      <w:lvlText w:val=""/>
      <w:lvlJc w:val="left"/>
      <w:pPr>
        <w:tabs>
          <w:tab w:val="left" w:pos="2460"/>
        </w:tabs>
        <w:ind w:left="2460" w:hanging="420"/>
      </w:pPr>
      <w:rPr>
        <w:rFonts w:ascii="Wingdings" w:hAnsi="Wingdings" w:hint="default"/>
      </w:rPr>
    </w:lvl>
    <w:lvl w:ilvl="5">
      <w:start w:val="1"/>
      <w:numFmt w:val="bullet"/>
      <w:lvlText w:val=""/>
      <w:lvlJc w:val="left"/>
      <w:pPr>
        <w:tabs>
          <w:tab w:val="left" w:pos="2880"/>
        </w:tabs>
        <w:ind w:left="2880" w:hanging="420"/>
      </w:pPr>
      <w:rPr>
        <w:rFonts w:ascii="Wingdings" w:hAnsi="Wingdings" w:hint="default"/>
      </w:rPr>
    </w:lvl>
    <w:lvl w:ilvl="6">
      <w:start w:val="1"/>
      <w:numFmt w:val="bullet"/>
      <w:lvlText w:val=""/>
      <w:lvlJc w:val="left"/>
      <w:pPr>
        <w:tabs>
          <w:tab w:val="left" w:pos="3300"/>
        </w:tabs>
        <w:ind w:left="3300" w:hanging="420"/>
      </w:pPr>
      <w:rPr>
        <w:rFonts w:ascii="Wingdings" w:hAnsi="Wingdings" w:hint="default"/>
      </w:rPr>
    </w:lvl>
    <w:lvl w:ilvl="7">
      <w:start w:val="1"/>
      <w:numFmt w:val="bullet"/>
      <w:lvlText w:val=""/>
      <w:lvlJc w:val="left"/>
      <w:pPr>
        <w:tabs>
          <w:tab w:val="left" w:pos="3720"/>
        </w:tabs>
        <w:ind w:left="3720" w:hanging="420"/>
      </w:pPr>
      <w:rPr>
        <w:rFonts w:ascii="Wingdings" w:hAnsi="Wingdings" w:hint="default"/>
      </w:rPr>
    </w:lvl>
    <w:lvl w:ilvl="8">
      <w:start w:val="1"/>
      <w:numFmt w:val="bullet"/>
      <w:lvlText w:val=""/>
      <w:lvlJc w:val="left"/>
      <w:pPr>
        <w:tabs>
          <w:tab w:val="left" w:pos="4140"/>
        </w:tabs>
        <w:ind w:left="4140" w:hanging="420"/>
      </w:pPr>
      <w:rPr>
        <w:rFonts w:ascii="Wingdings" w:hAnsi="Wingdings" w:hint="default"/>
      </w:rPr>
    </w:lvl>
  </w:abstractNum>
  <w:abstractNum w:abstractNumId="5" w15:restartNumberingAfterBreak="0">
    <w:nsid w:val="69215764"/>
    <w:multiLevelType w:val="multilevel"/>
    <w:tmpl w:val="D332B4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98E5CA2"/>
    <w:multiLevelType w:val="singleLevel"/>
    <w:tmpl w:val="798E5CA2"/>
    <w:lvl w:ilvl="0">
      <w:start w:val="2"/>
      <w:numFmt w:val="decimal"/>
      <w:suff w:val="nothing"/>
      <w:lvlText w:val="%1、"/>
      <w:lvlJc w:val="left"/>
    </w:lvl>
  </w:abstractNum>
  <w:num w:numId="1" w16cid:durableId="472137231">
    <w:abstractNumId w:val="4"/>
  </w:num>
  <w:num w:numId="2" w16cid:durableId="2011910626">
    <w:abstractNumId w:val="6"/>
  </w:num>
  <w:num w:numId="3" w16cid:durableId="232202340">
    <w:abstractNumId w:val="1"/>
  </w:num>
  <w:num w:numId="4" w16cid:durableId="1452703473">
    <w:abstractNumId w:val="3"/>
  </w:num>
  <w:num w:numId="5" w16cid:durableId="1800996870">
    <w:abstractNumId w:val="2"/>
  </w:num>
  <w:num w:numId="6" w16cid:durableId="1686251273">
    <w:abstractNumId w:val="0"/>
  </w:num>
  <w:num w:numId="7" w16cid:durableId="554200098">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Yeh Wang">
    <w15:presenceInfo w15:providerId="Windows Live" w15:userId="aefaa9469a8bbea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A223D"/>
    <w:rsid w:val="00050978"/>
    <w:rsid w:val="001A548D"/>
    <w:rsid w:val="005A223D"/>
    <w:rsid w:val="00A347A7"/>
    <w:rsid w:val="00C37A88"/>
    <w:rsid w:val="00C565E6"/>
    <w:rsid w:val="012D2227"/>
    <w:rsid w:val="02922C89"/>
    <w:rsid w:val="037B54CB"/>
    <w:rsid w:val="0457703E"/>
    <w:rsid w:val="0DC67C8B"/>
    <w:rsid w:val="11DC5FC8"/>
    <w:rsid w:val="12176B13"/>
    <w:rsid w:val="128A74D9"/>
    <w:rsid w:val="130D1EB8"/>
    <w:rsid w:val="187F1162"/>
    <w:rsid w:val="1B597C6D"/>
    <w:rsid w:val="1FD60202"/>
    <w:rsid w:val="20C444FE"/>
    <w:rsid w:val="255B6AB3"/>
    <w:rsid w:val="25BF7042"/>
    <w:rsid w:val="26395046"/>
    <w:rsid w:val="2B4D57D1"/>
    <w:rsid w:val="2B74267D"/>
    <w:rsid w:val="2C953680"/>
    <w:rsid w:val="33835B53"/>
    <w:rsid w:val="352C5D76"/>
    <w:rsid w:val="38EC7CF6"/>
    <w:rsid w:val="3950297B"/>
    <w:rsid w:val="3B8E130B"/>
    <w:rsid w:val="3BE70C49"/>
    <w:rsid w:val="3C577B7C"/>
    <w:rsid w:val="3C6B3628"/>
    <w:rsid w:val="40C01405"/>
    <w:rsid w:val="45EA380F"/>
    <w:rsid w:val="48BD345D"/>
    <w:rsid w:val="4A0B1FA6"/>
    <w:rsid w:val="4A662573"/>
    <w:rsid w:val="4AFF1B0B"/>
    <w:rsid w:val="4BF2341E"/>
    <w:rsid w:val="4C074BF2"/>
    <w:rsid w:val="4EF31987"/>
    <w:rsid w:val="4EF83441"/>
    <w:rsid w:val="50250266"/>
    <w:rsid w:val="5CD8523F"/>
    <w:rsid w:val="5D4E0526"/>
    <w:rsid w:val="5E543AC4"/>
    <w:rsid w:val="5F530220"/>
    <w:rsid w:val="6ABC4ECB"/>
    <w:rsid w:val="6B7B6FA7"/>
    <w:rsid w:val="6C944351"/>
    <w:rsid w:val="700510C2"/>
    <w:rsid w:val="70EE5FFA"/>
    <w:rsid w:val="7265409A"/>
    <w:rsid w:val="73A82490"/>
    <w:rsid w:val="7460720F"/>
    <w:rsid w:val="778F5150"/>
    <w:rsid w:val="7C06305E"/>
    <w:rsid w:val="7D5316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E8F96D"/>
  <w15:docId w15:val="{E9FEF533-ABF9-487E-A838-AF650508E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page number"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2">
    <w:name w:val="heading 2"/>
    <w:basedOn w:val="a"/>
    <w:next w:val="a"/>
    <w:link w:val="20"/>
    <w:unhideWhenUsed/>
    <w:qFormat/>
    <w:rsid w:val="00050978"/>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character" w:styleId="a4">
    <w:name w:val="page number"/>
    <w:basedOn w:val="a0"/>
    <w:qFormat/>
  </w:style>
  <w:style w:type="character" w:customStyle="1" w:styleId="20">
    <w:name w:val="标题 2 字符"/>
    <w:basedOn w:val="a0"/>
    <w:link w:val="2"/>
    <w:rsid w:val="00050978"/>
    <w:rPr>
      <w:rFonts w:asciiTheme="majorHAnsi" w:eastAsiaTheme="majorEastAsia" w:hAnsiTheme="majorHAnsi" w:cstheme="majorBidi"/>
      <w:b/>
      <w:bCs/>
      <w:kern w:val="2"/>
      <w:sz w:val="32"/>
      <w:szCs w:val="32"/>
    </w:rPr>
  </w:style>
  <w:style w:type="character" w:styleId="a5">
    <w:name w:val="annotation reference"/>
    <w:basedOn w:val="a0"/>
    <w:rsid w:val="00050978"/>
    <w:rPr>
      <w:sz w:val="21"/>
      <w:szCs w:val="21"/>
    </w:rPr>
  </w:style>
  <w:style w:type="paragraph" w:styleId="a6">
    <w:name w:val="annotation text"/>
    <w:basedOn w:val="a"/>
    <w:link w:val="a7"/>
    <w:rsid w:val="00050978"/>
    <w:pPr>
      <w:jc w:val="left"/>
    </w:pPr>
  </w:style>
  <w:style w:type="character" w:customStyle="1" w:styleId="a7">
    <w:name w:val="批注文字 字符"/>
    <w:basedOn w:val="a0"/>
    <w:link w:val="a6"/>
    <w:rsid w:val="00050978"/>
    <w:rPr>
      <w:rFonts w:ascii="Times New Roman" w:eastAsia="宋体" w:hAnsi="Times New Roman" w:cs="Times New Roman"/>
      <w:kern w:val="2"/>
      <w:sz w:val="21"/>
      <w:szCs w:val="24"/>
    </w:rPr>
  </w:style>
  <w:style w:type="paragraph" w:styleId="a8">
    <w:name w:val="annotation subject"/>
    <w:basedOn w:val="a6"/>
    <w:next w:val="a6"/>
    <w:link w:val="a9"/>
    <w:rsid w:val="00050978"/>
    <w:rPr>
      <w:b/>
      <w:bCs/>
    </w:rPr>
  </w:style>
  <w:style w:type="character" w:customStyle="1" w:styleId="a9">
    <w:name w:val="批注主题 字符"/>
    <w:basedOn w:val="a7"/>
    <w:link w:val="a8"/>
    <w:rsid w:val="00050978"/>
    <w:rPr>
      <w:rFonts w:ascii="Times New Roman" w:eastAsia="宋体" w:hAnsi="Times New Roman" w:cs="Times New Roman"/>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theme" Target="theme/theme1.xml"/><Relationship Id="rId5" Type="http://schemas.openxmlformats.org/officeDocument/2006/relationships/comments" Target="comment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8</Pages>
  <Words>861</Words>
  <Characters>4909</Characters>
  <Application>Microsoft Office Word</Application>
  <DocSecurity>0</DocSecurity>
  <Lines>40</Lines>
  <Paragraphs>11</Paragraphs>
  <ScaleCrop>false</ScaleCrop>
  <Company/>
  <LinksUpToDate>false</LinksUpToDate>
  <CharactersWithSpaces>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Yeh Wang</cp:lastModifiedBy>
  <cp:revision>3</cp:revision>
  <dcterms:created xsi:type="dcterms:W3CDTF">2025-07-03T06:32:00Z</dcterms:created>
  <dcterms:modified xsi:type="dcterms:W3CDTF">2025-11-24T09:12:00Z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eyJoZGlkIjoiN2EzOTZjZWRkNjRiZDRjNjIyNTc5ZWI1MjgxMGY1NjciLCJ1c2VySWQiOiI1MDEzNDM1NDgifQ==</vt:lpwstr>
  </property>
  <property fmtid="{D5CDD505-2E9C-101B-9397-08002B2CF9AE}" pid="4" name="ICV">
    <vt:lpwstr>551A9E2B83124D368D7995AFA6E1A0C2_12</vt:lpwstr>
  </property>
</Properties>
</file>